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2BEB3" w14:textId="77777777" w:rsidR="00831266" w:rsidRPr="00371588" w:rsidRDefault="000A531F" w:rsidP="00831266">
      <w:pPr>
        <w:jc w:val="center"/>
        <w:rPr>
          <w:b/>
          <w:sz w:val="28"/>
          <w:szCs w:val="28"/>
        </w:rPr>
      </w:pPr>
      <w:r w:rsidRPr="00371588">
        <w:rPr>
          <w:b/>
          <w:sz w:val="28"/>
          <w:szCs w:val="28"/>
        </w:rPr>
        <w:t>Izziņa par atzinumos sniegtajiem iebildumiem</w:t>
      </w:r>
      <w:r w:rsidR="00831266" w:rsidRPr="00371588">
        <w:rPr>
          <w:b/>
          <w:sz w:val="28"/>
          <w:szCs w:val="28"/>
        </w:rPr>
        <w:t xml:space="preserve"> </w:t>
      </w:r>
    </w:p>
    <w:p w14:paraId="0ACC26B4" w14:textId="0E9E9F10" w:rsidR="00985C29" w:rsidRPr="00371588" w:rsidRDefault="008857B7" w:rsidP="00985C29">
      <w:pPr>
        <w:jc w:val="center"/>
        <w:rPr>
          <w:b/>
          <w:sz w:val="28"/>
          <w:szCs w:val="28"/>
        </w:rPr>
      </w:pPr>
      <w:r>
        <w:rPr>
          <w:b/>
          <w:sz w:val="28"/>
          <w:szCs w:val="28"/>
        </w:rPr>
        <w:t>Likumprojektam</w:t>
      </w:r>
      <w:r w:rsidRPr="008857B7">
        <w:rPr>
          <w:b/>
          <w:sz w:val="28"/>
          <w:szCs w:val="28"/>
        </w:rPr>
        <w:t xml:space="preserve"> "Grozījumi Ķīmisko vielu likumā"</w:t>
      </w:r>
    </w:p>
    <w:p w14:paraId="6C8F2033" w14:textId="425FD95E" w:rsidR="004D1569" w:rsidRPr="00371588" w:rsidRDefault="009B1EEA" w:rsidP="004021B9">
      <w:pPr>
        <w:jc w:val="center"/>
        <w:rPr>
          <w:b/>
          <w:sz w:val="28"/>
          <w:szCs w:val="28"/>
          <w:lang w:eastAsia="en-US"/>
        </w:rPr>
      </w:pPr>
      <w:r w:rsidRPr="00371588">
        <w:rPr>
          <w:b/>
          <w:sz w:val="28"/>
          <w:szCs w:val="28"/>
        </w:rPr>
        <w:t xml:space="preserve"> </w:t>
      </w:r>
      <w:r w:rsidR="004D1569" w:rsidRPr="00371588">
        <w:rPr>
          <w:b/>
          <w:sz w:val="28"/>
          <w:szCs w:val="28"/>
        </w:rPr>
        <w:t>(VSS</w:t>
      </w:r>
      <w:r w:rsidR="001A67DB" w:rsidRPr="00371588">
        <w:rPr>
          <w:b/>
          <w:sz w:val="28"/>
          <w:szCs w:val="28"/>
        </w:rPr>
        <w:t xml:space="preserve"> </w:t>
      </w:r>
      <w:r w:rsidR="004D1569" w:rsidRPr="00371588">
        <w:rPr>
          <w:b/>
          <w:sz w:val="28"/>
          <w:szCs w:val="28"/>
        </w:rPr>
        <w:t xml:space="preserve">- </w:t>
      </w:r>
      <w:r w:rsidR="008857B7">
        <w:rPr>
          <w:b/>
          <w:sz w:val="28"/>
          <w:szCs w:val="28"/>
        </w:rPr>
        <w:t>900</w:t>
      </w:r>
      <w:r w:rsidR="004D1569" w:rsidRPr="00371588">
        <w:rPr>
          <w:b/>
          <w:sz w:val="28"/>
          <w:szCs w:val="28"/>
        </w:rPr>
        <w:t xml:space="preserve">) </w:t>
      </w:r>
    </w:p>
    <w:p w14:paraId="527F9148" w14:textId="77777777" w:rsidR="00B31214" w:rsidRDefault="00B31214" w:rsidP="000A531F">
      <w:pPr>
        <w:jc w:val="center"/>
        <w:rPr>
          <w:b/>
        </w:rPr>
      </w:pPr>
    </w:p>
    <w:p w14:paraId="45771458" w14:textId="33EE27F4" w:rsidR="000A531F" w:rsidRPr="00371588" w:rsidRDefault="000A531F" w:rsidP="000A531F">
      <w:pPr>
        <w:jc w:val="center"/>
        <w:rPr>
          <w:b/>
        </w:rPr>
      </w:pPr>
      <w:r w:rsidRPr="00371588">
        <w:rPr>
          <w:b/>
        </w:rPr>
        <w:t>I.</w:t>
      </w:r>
      <w:r w:rsidR="00EA4FB1" w:rsidRPr="00371588">
        <w:rPr>
          <w:b/>
        </w:rPr>
        <w:t xml:space="preserve"> </w:t>
      </w:r>
      <w:r w:rsidRPr="00371588">
        <w:rPr>
          <w:b/>
        </w:rPr>
        <w:t>Jautājumi, par kuriem saskaņošanā vienošanās nav panākta</w:t>
      </w:r>
    </w:p>
    <w:tbl>
      <w:tblPr>
        <w:tblStyle w:val="TableGrid"/>
        <w:tblW w:w="15021" w:type="dxa"/>
        <w:tblLayout w:type="fixed"/>
        <w:tblLook w:val="01E0" w:firstRow="1" w:lastRow="1" w:firstColumn="1" w:lastColumn="1" w:noHBand="0" w:noVBand="0"/>
      </w:tblPr>
      <w:tblGrid>
        <w:gridCol w:w="648"/>
        <w:gridCol w:w="1757"/>
        <w:gridCol w:w="3544"/>
        <w:gridCol w:w="4419"/>
        <w:gridCol w:w="1620"/>
        <w:gridCol w:w="3033"/>
      </w:tblGrid>
      <w:tr w:rsidR="00F21F58" w:rsidRPr="00371588" w14:paraId="2DA0C375" w14:textId="77777777" w:rsidTr="00926D97">
        <w:tc>
          <w:tcPr>
            <w:tcW w:w="648" w:type="dxa"/>
            <w:vAlign w:val="center"/>
          </w:tcPr>
          <w:p w14:paraId="04544725" w14:textId="77777777" w:rsidR="000A531F" w:rsidRPr="00371588" w:rsidRDefault="000A531F" w:rsidP="0016680D">
            <w:pPr>
              <w:jc w:val="center"/>
            </w:pPr>
            <w:proofErr w:type="spellStart"/>
            <w:r w:rsidRPr="00371588">
              <w:t>Nr.p.k</w:t>
            </w:r>
            <w:proofErr w:type="spellEnd"/>
            <w:r w:rsidRPr="00371588">
              <w:t>.</w:t>
            </w:r>
          </w:p>
        </w:tc>
        <w:tc>
          <w:tcPr>
            <w:tcW w:w="1757" w:type="dxa"/>
            <w:vAlign w:val="center"/>
          </w:tcPr>
          <w:p w14:paraId="3039FB62" w14:textId="77777777" w:rsidR="000A531F" w:rsidRPr="00371588" w:rsidRDefault="000A531F" w:rsidP="0016680D">
            <w:pPr>
              <w:jc w:val="center"/>
            </w:pPr>
            <w:r w:rsidRPr="00371588">
              <w:t>Saskaņošanai nosūtītā projekta redakcija (konkrēta punkta (panta) redakcija)</w:t>
            </w:r>
          </w:p>
        </w:tc>
        <w:tc>
          <w:tcPr>
            <w:tcW w:w="3544" w:type="dxa"/>
            <w:vAlign w:val="center"/>
          </w:tcPr>
          <w:p w14:paraId="3B6DA722" w14:textId="77777777" w:rsidR="000A531F" w:rsidRPr="00371588" w:rsidRDefault="000A531F" w:rsidP="0016680D">
            <w:pPr>
              <w:jc w:val="center"/>
            </w:pPr>
            <w:r w:rsidRPr="00371588">
              <w:t>Atzinumā norādītais ministrijas (citas institūcijas) iebildums, kā arī saskaņošanā papildus izteiktais iebildums par projekta konkrēto punktu (pantu)</w:t>
            </w:r>
          </w:p>
        </w:tc>
        <w:tc>
          <w:tcPr>
            <w:tcW w:w="4419" w:type="dxa"/>
            <w:vAlign w:val="center"/>
          </w:tcPr>
          <w:p w14:paraId="78B19698" w14:textId="77777777" w:rsidR="000A531F" w:rsidRPr="00371588" w:rsidRDefault="000A531F" w:rsidP="0016680D">
            <w:pPr>
              <w:jc w:val="center"/>
            </w:pPr>
            <w:r w:rsidRPr="00371588">
              <w:t>Atbildīgās ministrijas pamatojums iebilduma noraidījumam</w:t>
            </w:r>
          </w:p>
        </w:tc>
        <w:tc>
          <w:tcPr>
            <w:tcW w:w="1620" w:type="dxa"/>
            <w:vAlign w:val="center"/>
          </w:tcPr>
          <w:p w14:paraId="4FEB3DDA" w14:textId="77777777" w:rsidR="000A531F" w:rsidRPr="00371588" w:rsidRDefault="000A531F" w:rsidP="0016680D">
            <w:pPr>
              <w:jc w:val="center"/>
            </w:pPr>
            <w:r w:rsidRPr="00371588">
              <w:t>Atzinuma sniedzēja uzturētais iebildums, ja tas atšķiras no atzinumā norādītā iebilduma pamatojuma</w:t>
            </w:r>
          </w:p>
        </w:tc>
        <w:tc>
          <w:tcPr>
            <w:tcW w:w="3033" w:type="dxa"/>
            <w:vAlign w:val="center"/>
          </w:tcPr>
          <w:p w14:paraId="0EB0BF1F" w14:textId="77777777" w:rsidR="000A531F" w:rsidRPr="00371588" w:rsidRDefault="000A531F" w:rsidP="0016680D">
            <w:pPr>
              <w:jc w:val="center"/>
            </w:pPr>
            <w:r w:rsidRPr="00371588">
              <w:t>Projekta attiecīgā punkta (panta) galīgā redakcija</w:t>
            </w:r>
          </w:p>
        </w:tc>
      </w:tr>
      <w:tr w:rsidR="00F21F58" w:rsidRPr="00371588" w14:paraId="0C29CA32" w14:textId="77777777" w:rsidTr="43AC5C39">
        <w:tc>
          <w:tcPr>
            <w:tcW w:w="648" w:type="dxa"/>
          </w:tcPr>
          <w:p w14:paraId="0B772604" w14:textId="77777777" w:rsidR="000A531F" w:rsidRPr="00371588" w:rsidRDefault="000A531F" w:rsidP="0016680D">
            <w:pPr>
              <w:jc w:val="center"/>
            </w:pPr>
            <w:r w:rsidRPr="00371588">
              <w:t>1.</w:t>
            </w:r>
          </w:p>
        </w:tc>
        <w:tc>
          <w:tcPr>
            <w:tcW w:w="1757" w:type="dxa"/>
          </w:tcPr>
          <w:p w14:paraId="74FA1801" w14:textId="77777777" w:rsidR="000A531F" w:rsidRPr="00371588" w:rsidRDefault="000A531F" w:rsidP="0016680D">
            <w:pPr>
              <w:jc w:val="center"/>
            </w:pPr>
            <w:r w:rsidRPr="00371588">
              <w:t>2.</w:t>
            </w:r>
          </w:p>
        </w:tc>
        <w:tc>
          <w:tcPr>
            <w:tcW w:w="3544" w:type="dxa"/>
          </w:tcPr>
          <w:p w14:paraId="3977D32D" w14:textId="77777777" w:rsidR="000A531F" w:rsidRPr="00371588" w:rsidRDefault="000A531F" w:rsidP="0016680D">
            <w:pPr>
              <w:jc w:val="center"/>
            </w:pPr>
            <w:r w:rsidRPr="00371588">
              <w:t>3.</w:t>
            </w:r>
          </w:p>
        </w:tc>
        <w:tc>
          <w:tcPr>
            <w:tcW w:w="4419" w:type="dxa"/>
          </w:tcPr>
          <w:p w14:paraId="44ED4615" w14:textId="77777777" w:rsidR="000A531F" w:rsidRPr="00371588" w:rsidRDefault="000A531F" w:rsidP="0016680D">
            <w:pPr>
              <w:jc w:val="center"/>
            </w:pPr>
            <w:r w:rsidRPr="00371588">
              <w:t>4.</w:t>
            </w:r>
          </w:p>
        </w:tc>
        <w:tc>
          <w:tcPr>
            <w:tcW w:w="1620" w:type="dxa"/>
          </w:tcPr>
          <w:p w14:paraId="5DA65A36" w14:textId="77777777" w:rsidR="000A531F" w:rsidRPr="00371588" w:rsidRDefault="000A531F" w:rsidP="0016680D">
            <w:pPr>
              <w:jc w:val="center"/>
            </w:pPr>
            <w:r w:rsidRPr="00371588">
              <w:t>5.</w:t>
            </w:r>
          </w:p>
        </w:tc>
        <w:tc>
          <w:tcPr>
            <w:tcW w:w="3033" w:type="dxa"/>
          </w:tcPr>
          <w:p w14:paraId="51DFA780" w14:textId="77777777" w:rsidR="000A531F" w:rsidRPr="00371588" w:rsidRDefault="000A531F" w:rsidP="0016680D">
            <w:pPr>
              <w:jc w:val="center"/>
            </w:pPr>
            <w:r w:rsidRPr="00371588">
              <w:t>6.</w:t>
            </w:r>
          </w:p>
        </w:tc>
      </w:tr>
      <w:tr w:rsidR="008F545C" w:rsidRPr="00371588" w14:paraId="2064E541" w14:textId="77777777" w:rsidTr="43AC5C39">
        <w:tc>
          <w:tcPr>
            <w:tcW w:w="648" w:type="dxa"/>
          </w:tcPr>
          <w:p w14:paraId="3A3E9AD5" w14:textId="76D701CA" w:rsidR="008F545C" w:rsidRPr="00371588" w:rsidRDefault="008F545C" w:rsidP="008F545C">
            <w:pPr>
              <w:jc w:val="center"/>
            </w:pPr>
          </w:p>
        </w:tc>
        <w:tc>
          <w:tcPr>
            <w:tcW w:w="1757" w:type="dxa"/>
          </w:tcPr>
          <w:p w14:paraId="0EC6BFD7" w14:textId="48C2E677" w:rsidR="008F545C" w:rsidRPr="00371588" w:rsidRDefault="008F545C" w:rsidP="008F545C">
            <w:pPr>
              <w:jc w:val="center"/>
            </w:pPr>
          </w:p>
        </w:tc>
        <w:tc>
          <w:tcPr>
            <w:tcW w:w="3544" w:type="dxa"/>
          </w:tcPr>
          <w:p w14:paraId="7DA29702" w14:textId="77E9AD18" w:rsidR="008F545C" w:rsidRPr="00371588" w:rsidRDefault="008F545C" w:rsidP="008F545C">
            <w:pPr>
              <w:jc w:val="center"/>
            </w:pPr>
          </w:p>
        </w:tc>
        <w:tc>
          <w:tcPr>
            <w:tcW w:w="4419" w:type="dxa"/>
          </w:tcPr>
          <w:p w14:paraId="61882AED" w14:textId="22EBBD1E" w:rsidR="008F545C" w:rsidRPr="00371588" w:rsidRDefault="008F545C" w:rsidP="008F545C">
            <w:pPr>
              <w:pStyle w:val="BodyText"/>
              <w:spacing w:after="0"/>
              <w:jc w:val="both"/>
            </w:pPr>
          </w:p>
        </w:tc>
        <w:tc>
          <w:tcPr>
            <w:tcW w:w="1620" w:type="dxa"/>
          </w:tcPr>
          <w:p w14:paraId="3FE3A209" w14:textId="77777777" w:rsidR="008F545C" w:rsidRPr="00371588" w:rsidRDefault="008F545C" w:rsidP="008F545C">
            <w:pPr>
              <w:jc w:val="center"/>
            </w:pPr>
          </w:p>
        </w:tc>
        <w:tc>
          <w:tcPr>
            <w:tcW w:w="3033" w:type="dxa"/>
          </w:tcPr>
          <w:p w14:paraId="1ACC083E" w14:textId="1D8E4AC4" w:rsidR="008F545C" w:rsidRPr="00371588" w:rsidRDefault="008F545C" w:rsidP="008F545C">
            <w:pPr>
              <w:jc w:val="center"/>
            </w:pPr>
          </w:p>
        </w:tc>
      </w:tr>
    </w:tbl>
    <w:p w14:paraId="59BBA0F7" w14:textId="721B7E6E" w:rsidR="00AA6CE9" w:rsidRPr="00371588" w:rsidRDefault="00AA6CE9" w:rsidP="0053729A">
      <w:pPr>
        <w:jc w:val="center"/>
        <w:rPr>
          <w:b/>
        </w:rPr>
      </w:pPr>
    </w:p>
    <w:p w14:paraId="303ADE27" w14:textId="77777777" w:rsidR="00B623BC" w:rsidRPr="00371588" w:rsidRDefault="00B623BC" w:rsidP="00B623BC">
      <w:pPr>
        <w:pStyle w:val="naisf"/>
        <w:spacing w:before="0" w:after="0"/>
        <w:ind w:firstLine="0"/>
        <w:rPr>
          <w:b/>
        </w:rPr>
      </w:pPr>
      <w:r w:rsidRPr="00371588">
        <w:rPr>
          <w:b/>
        </w:rPr>
        <w:t>Informācija par starpministriju (starpinstitūciju) sanāksmi vai elektronisko saskaņošanu</w:t>
      </w:r>
    </w:p>
    <w:p w14:paraId="5D694832" w14:textId="77777777" w:rsidR="00B623BC" w:rsidRPr="00371588" w:rsidRDefault="00B623BC" w:rsidP="00B623BC">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B623BC" w:rsidRPr="00371588" w14:paraId="5FBD68DB" w14:textId="77777777" w:rsidTr="00926D97">
        <w:tc>
          <w:tcPr>
            <w:tcW w:w="6345" w:type="dxa"/>
          </w:tcPr>
          <w:p w14:paraId="2B0391B0" w14:textId="77777777" w:rsidR="00B623BC" w:rsidRPr="00371588" w:rsidRDefault="00B623BC" w:rsidP="0016680D">
            <w:pPr>
              <w:pStyle w:val="naisf"/>
              <w:spacing w:before="0" w:after="0"/>
              <w:ind w:firstLine="0"/>
            </w:pPr>
            <w:r w:rsidRPr="00371588">
              <w:t>Datums</w:t>
            </w:r>
          </w:p>
        </w:tc>
        <w:tc>
          <w:tcPr>
            <w:tcW w:w="6237" w:type="dxa"/>
            <w:gridSpan w:val="2"/>
            <w:tcBorders>
              <w:bottom w:val="single" w:sz="4" w:space="0" w:color="auto"/>
            </w:tcBorders>
          </w:tcPr>
          <w:p w14:paraId="6EEAC2BD" w14:textId="3AE6AE77" w:rsidR="00B623BC" w:rsidRDefault="518785F8" w:rsidP="00005B63">
            <w:pPr>
              <w:pStyle w:val="NormalWeb"/>
              <w:spacing w:before="0" w:after="0"/>
              <w:jc w:val="both"/>
            </w:pPr>
            <w:r w:rsidRPr="0066749A">
              <w:t>2019.</w:t>
            </w:r>
            <w:r w:rsidR="000A7B5B" w:rsidRPr="0066749A">
              <w:t> </w:t>
            </w:r>
            <w:r w:rsidRPr="0066749A">
              <w:t>gada</w:t>
            </w:r>
            <w:r w:rsidR="00D95337">
              <w:t xml:space="preserve"> 1</w:t>
            </w:r>
            <w:r w:rsidR="00483F00">
              <w:t>7</w:t>
            </w:r>
            <w:r w:rsidR="00005B63">
              <w:t>.</w:t>
            </w:r>
            <w:r w:rsidR="00005B63" w:rsidRPr="0066749A">
              <w:t xml:space="preserve"> </w:t>
            </w:r>
            <w:r w:rsidR="009D56D7" w:rsidRPr="0066749A">
              <w:t>decem</w:t>
            </w:r>
            <w:r w:rsidR="00005B63">
              <w:t>bra</w:t>
            </w:r>
            <w:r w:rsidR="000A7B5B" w:rsidRPr="0066749A">
              <w:t xml:space="preserve"> elektroniskā saskaņošana</w:t>
            </w:r>
          </w:p>
          <w:p w14:paraId="42F8D984" w14:textId="621CFCB6" w:rsidR="00A321C8" w:rsidRPr="00371588" w:rsidRDefault="00A321C8" w:rsidP="00005B63">
            <w:pPr>
              <w:pStyle w:val="NormalWeb"/>
              <w:spacing w:before="0" w:after="0"/>
            </w:pPr>
            <w:r w:rsidRPr="00FC4191">
              <w:t xml:space="preserve">2020. </w:t>
            </w:r>
            <w:r w:rsidRPr="00FC4191">
              <w:rPr>
                <w:color w:val="000000" w:themeColor="text1"/>
              </w:rPr>
              <w:t xml:space="preserve">gada </w:t>
            </w:r>
            <w:r w:rsidR="00926D97" w:rsidRPr="00FC4191">
              <w:rPr>
                <w:color w:val="000000" w:themeColor="text1"/>
              </w:rPr>
              <w:t>1</w:t>
            </w:r>
            <w:r w:rsidR="00021AE9" w:rsidRPr="00FC4191">
              <w:rPr>
                <w:color w:val="000000" w:themeColor="text1"/>
              </w:rPr>
              <w:t>5</w:t>
            </w:r>
            <w:r w:rsidR="00926D97" w:rsidRPr="00FC4191">
              <w:rPr>
                <w:color w:val="000000" w:themeColor="text1"/>
              </w:rPr>
              <w:t xml:space="preserve">.  </w:t>
            </w:r>
            <w:r w:rsidR="00005B63">
              <w:rPr>
                <w:color w:val="000000" w:themeColor="text1"/>
              </w:rPr>
              <w:t>janvāra</w:t>
            </w:r>
            <w:r w:rsidRPr="00FC4191">
              <w:rPr>
                <w:color w:val="000000" w:themeColor="text1"/>
              </w:rPr>
              <w:t xml:space="preserve"> </w:t>
            </w:r>
            <w:r w:rsidRPr="0066749A">
              <w:t>elektroniskā saskaņošana</w:t>
            </w:r>
            <w:r w:rsidR="00C25ECC" w:rsidRPr="3C1063B5">
              <w:t xml:space="preserve"> </w:t>
            </w:r>
          </w:p>
        </w:tc>
      </w:tr>
      <w:tr w:rsidR="00B623BC" w:rsidRPr="00371588" w14:paraId="418DDFDA" w14:textId="77777777" w:rsidTr="00926D97">
        <w:tc>
          <w:tcPr>
            <w:tcW w:w="6345" w:type="dxa"/>
          </w:tcPr>
          <w:p w14:paraId="006C737A" w14:textId="77777777" w:rsidR="00B623BC" w:rsidRPr="00371588" w:rsidRDefault="00B623BC" w:rsidP="0016680D">
            <w:pPr>
              <w:pStyle w:val="naisf"/>
              <w:spacing w:before="0" w:after="0"/>
              <w:ind w:firstLine="0"/>
            </w:pPr>
          </w:p>
        </w:tc>
        <w:tc>
          <w:tcPr>
            <w:tcW w:w="6237" w:type="dxa"/>
            <w:gridSpan w:val="2"/>
            <w:tcBorders>
              <w:top w:val="single" w:sz="4" w:space="0" w:color="auto"/>
            </w:tcBorders>
          </w:tcPr>
          <w:p w14:paraId="5B96C199" w14:textId="77777777" w:rsidR="00B623BC" w:rsidRPr="00371588" w:rsidRDefault="00B623BC" w:rsidP="0016680D">
            <w:pPr>
              <w:pStyle w:val="NormalWeb"/>
              <w:spacing w:before="0" w:after="0"/>
              <w:ind w:firstLine="720"/>
            </w:pPr>
          </w:p>
        </w:tc>
      </w:tr>
      <w:tr w:rsidR="00B623BC" w:rsidRPr="00371588" w14:paraId="6C513EAF" w14:textId="77777777" w:rsidTr="00926D97">
        <w:tc>
          <w:tcPr>
            <w:tcW w:w="6345" w:type="dxa"/>
          </w:tcPr>
          <w:p w14:paraId="7AD18841" w14:textId="77777777" w:rsidR="00B623BC" w:rsidRPr="00371588" w:rsidRDefault="00B623BC" w:rsidP="0016680D">
            <w:pPr>
              <w:pStyle w:val="naiskr"/>
              <w:spacing w:before="0" w:after="0"/>
            </w:pPr>
            <w:r w:rsidRPr="00371588">
              <w:t>Saskaņošanas dalībnieki</w:t>
            </w:r>
          </w:p>
        </w:tc>
        <w:tc>
          <w:tcPr>
            <w:tcW w:w="6237" w:type="dxa"/>
            <w:gridSpan w:val="2"/>
          </w:tcPr>
          <w:p w14:paraId="5365328D" w14:textId="039E6435" w:rsidR="00B623BC" w:rsidRPr="007E52FD" w:rsidRDefault="23C17F04" w:rsidP="00005B63">
            <w:pPr>
              <w:pStyle w:val="NormalWeb"/>
              <w:spacing w:before="0" w:after="0"/>
              <w:jc w:val="both"/>
              <w:rPr>
                <w:b/>
                <w:bCs/>
              </w:rPr>
            </w:pPr>
            <w:r>
              <w:t xml:space="preserve">Tieslietu ministrija, Finanšu ministrija, Ekonomikas ministrija, Labklājības ministrija, Veselības ministrija, Zemkopības ministrija, </w:t>
            </w:r>
            <w:r w:rsidRPr="007E52FD">
              <w:rPr>
                <w:lang w:val="lv"/>
              </w:rPr>
              <w:t>Latvijas Brīvo arodbiedrību savienība,</w:t>
            </w:r>
            <w:r>
              <w:t xml:space="preserve"> Latvijas Darba devēju konfederācija</w:t>
            </w:r>
          </w:p>
        </w:tc>
      </w:tr>
      <w:tr w:rsidR="00B623BC" w:rsidRPr="00371588" w14:paraId="0CDA9A43" w14:textId="77777777" w:rsidTr="00926D97">
        <w:tc>
          <w:tcPr>
            <w:tcW w:w="6345" w:type="dxa"/>
          </w:tcPr>
          <w:p w14:paraId="03DEBC42" w14:textId="77777777" w:rsidR="00B623BC" w:rsidRPr="00371588" w:rsidRDefault="00B623BC" w:rsidP="0016680D">
            <w:pPr>
              <w:pStyle w:val="naiskr"/>
              <w:spacing w:before="0" w:after="0"/>
              <w:ind w:firstLine="720"/>
            </w:pPr>
            <w:r w:rsidRPr="00371588">
              <w:t>  </w:t>
            </w:r>
          </w:p>
        </w:tc>
        <w:tc>
          <w:tcPr>
            <w:tcW w:w="6237" w:type="dxa"/>
            <w:gridSpan w:val="2"/>
            <w:tcBorders>
              <w:top w:val="single" w:sz="6" w:space="0" w:color="000000" w:themeColor="text1"/>
              <w:bottom w:val="single" w:sz="6" w:space="0" w:color="000000" w:themeColor="text1"/>
            </w:tcBorders>
          </w:tcPr>
          <w:p w14:paraId="12E8ED0C" w14:textId="77777777" w:rsidR="00B623BC" w:rsidRPr="007E52FD" w:rsidRDefault="00B623BC" w:rsidP="007E52FD">
            <w:pPr>
              <w:pStyle w:val="naiskr"/>
              <w:spacing w:before="0" w:after="0"/>
              <w:rPr>
                <w:b/>
                <w:bCs/>
              </w:rPr>
            </w:pPr>
          </w:p>
        </w:tc>
      </w:tr>
      <w:tr w:rsidR="00B623BC" w:rsidRPr="00371588" w14:paraId="25F92B6C" w14:textId="77777777" w:rsidTr="3C1063B5">
        <w:trPr>
          <w:trHeight w:val="285"/>
        </w:trPr>
        <w:tc>
          <w:tcPr>
            <w:tcW w:w="6345" w:type="dxa"/>
          </w:tcPr>
          <w:p w14:paraId="395CB8F5" w14:textId="77777777" w:rsidR="00B623BC" w:rsidRPr="00371588" w:rsidRDefault="00B623BC" w:rsidP="0016680D">
            <w:pPr>
              <w:pStyle w:val="naiskr"/>
              <w:spacing w:before="0" w:after="0"/>
            </w:pPr>
          </w:p>
        </w:tc>
        <w:tc>
          <w:tcPr>
            <w:tcW w:w="1203" w:type="dxa"/>
          </w:tcPr>
          <w:p w14:paraId="353066D2" w14:textId="77777777" w:rsidR="00B623BC" w:rsidRPr="00371588" w:rsidRDefault="00B623BC" w:rsidP="0016680D">
            <w:pPr>
              <w:pStyle w:val="naiskr"/>
              <w:spacing w:before="0" w:after="0"/>
              <w:ind w:firstLine="720"/>
            </w:pPr>
          </w:p>
        </w:tc>
        <w:tc>
          <w:tcPr>
            <w:tcW w:w="5034" w:type="dxa"/>
          </w:tcPr>
          <w:p w14:paraId="1CE55BA3" w14:textId="77777777" w:rsidR="00B623BC" w:rsidRPr="00371588" w:rsidRDefault="00B623BC" w:rsidP="0016680D">
            <w:pPr>
              <w:pStyle w:val="naiskr"/>
              <w:spacing w:before="0" w:after="0"/>
              <w:ind w:firstLine="12"/>
            </w:pPr>
          </w:p>
        </w:tc>
      </w:tr>
    </w:tbl>
    <w:p w14:paraId="63039258" w14:textId="3ECAA762" w:rsidR="00B623BC" w:rsidRPr="00371588" w:rsidRDefault="00B623BC" w:rsidP="00B623BC"/>
    <w:tbl>
      <w:tblPr>
        <w:tblW w:w="17900" w:type="dxa"/>
        <w:tblLook w:val="00A0" w:firstRow="1" w:lastRow="0" w:firstColumn="1" w:lastColumn="0" w:noHBand="0" w:noVBand="0"/>
      </w:tblPr>
      <w:tblGrid>
        <w:gridCol w:w="6708"/>
        <w:gridCol w:w="6089"/>
        <w:gridCol w:w="69"/>
        <w:gridCol w:w="5034"/>
      </w:tblGrid>
      <w:tr w:rsidR="00B623BC" w:rsidRPr="00371588" w14:paraId="409C3233" w14:textId="77777777" w:rsidTr="009D25BC">
        <w:trPr>
          <w:trHeight w:val="285"/>
        </w:trPr>
        <w:tc>
          <w:tcPr>
            <w:tcW w:w="6708" w:type="dxa"/>
          </w:tcPr>
          <w:p w14:paraId="1B121815" w14:textId="77777777" w:rsidR="00B623BC" w:rsidRPr="00371588" w:rsidRDefault="00B623BC" w:rsidP="0016680D">
            <w:pPr>
              <w:pStyle w:val="naiskr"/>
              <w:spacing w:before="0" w:after="0"/>
            </w:pPr>
            <w:r w:rsidRPr="00371588">
              <w:lastRenderedPageBreak/>
              <w:t>Saskaņošanas dalībnieki izskatīja šādu ministriju (citu institūciju) iebildumus</w:t>
            </w:r>
          </w:p>
        </w:tc>
        <w:tc>
          <w:tcPr>
            <w:tcW w:w="6158" w:type="dxa"/>
            <w:gridSpan w:val="2"/>
          </w:tcPr>
          <w:p w14:paraId="20329680" w14:textId="3CE941DE" w:rsidR="00B623BC" w:rsidRPr="00371588" w:rsidRDefault="008857B7" w:rsidP="00005B63">
            <w:pPr>
              <w:pStyle w:val="naiskr"/>
              <w:spacing w:before="0" w:after="0"/>
            </w:pPr>
            <w:r w:rsidRPr="00371588">
              <w:t xml:space="preserve">Tieslietu ministrija, </w:t>
            </w:r>
            <w:r>
              <w:t xml:space="preserve">Ekonomikas ministrija, </w:t>
            </w:r>
            <w:r w:rsidRPr="00371588">
              <w:t>Finanšu ministrija</w:t>
            </w:r>
            <w:r>
              <w:t>,</w:t>
            </w:r>
            <w:r w:rsidRPr="00371588">
              <w:t xml:space="preserve"> </w:t>
            </w:r>
            <w:r>
              <w:t>Veselības ministrija</w:t>
            </w:r>
          </w:p>
        </w:tc>
        <w:tc>
          <w:tcPr>
            <w:tcW w:w="5034" w:type="dxa"/>
          </w:tcPr>
          <w:p w14:paraId="4FC4812B" w14:textId="77777777" w:rsidR="00B623BC" w:rsidRPr="00371588" w:rsidRDefault="00B623BC" w:rsidP="009D25BC">
            <w:pPr>
              <w:pStyle w:val="naiskr"/>
              <w:spacing w:before="0" w:after="0"/>
              <w:ind w:firstLine="720"/>
            </w:pPr>
          </w:p>
        </w:tc>
      </w:tr>
      <w:tr w:rsidR="00B623BC" w:rsidRPr="00371588" w14:paraId="26D8F044" w14:textId="77777777" w:rsidTr="009D25BC">
        <w:trPr>
          <w:gridAfter w:val="2"/>
          <w:wAfter w:w="5103" w:type="dxa"/>
          <w:trHeight w:val="465"/>
        </w:trPr>
        <w:tc>
          <w:tcPr>
            <w:tcW w:w="6708" w:type="dxa"/>
          </w:tcPr>
          <w:p w14:paraId="433EB7BA" w14:textId="77777777" w:rsidR="00B623BC" w:rsidRPr="00371588" w:rsidRDefault="00B623BC" w:rsidP="0016680D">
            <w:pPr>
              <w:pStyle w:val="naiskr"/>
              <w:spacing w:before="0" w:after="0"/>
              <w:ind w:firstLine="720"/>
            </w:pPr>
            <w:r w:rsidRPr="00371588">
              <w:t>  </w:t>
            </w:r>
          </w:p>
        </w:tc>
        <w:tc>
          <w:tcPr>
            <w:tcW w:w="6089" w:type="dxa"/>
            <w:tcBorders>
              <w:top w:val="single" w:sz="6" w:space="0" w:color="000000"/>
              <w:bottom w:val="single" w:sz="6" w:space="0" w:color="000000"/>
            </w:tcBorders>
          </w:tcPr>
          <w:p w14:paraId="581B354F" w14:textId="094F0A9D" w:rsidR="00B623BC" w:rsidRPr="00371588" w:rsidRDefault="00B623BC" w:rsidP="00FC4191">
            <w:pPr>
              <w:pStyle w:val="naiskr"/>
              <w:spacing w:before="0" w:after="0"/>
              <w:ind w:firstLine="720"/>
            </w:pPr>
          </w:p>
        </w:tc>
      </w:tr>
      <w:tr w:rsidR="00B623BC" w:rsidRPr="00371588" w14:paraId="15C60C16" w14:textId="77777777" w:rsidTr="009D25BC">
        <w:trPr>
          <w:gridAfter w:val="2"/>
          <w:wAfter w:w="5103" w:type="dxa"/>
          <w:trHeight w:val="465"/>
        </w:trPr>
        <w:tc>
          <w:tcPr>
            <w:tcW w:w="12797" w:type="dxa"/>
            <w:gridSpan w:val="2"/>
          </w:tcPr>
          <w:p w14:paraId="6B862F00" w14:textId="77777777" w:rsidR="00B623BC" w:rsidRPr="00371588" w:rsidRDefault="00B623BC" w:rsidP="0016680D">
            <w:pPr>
              <w:pStyle w:val="naisc"/>
              <w:spacing w:before="0" w:after="0"/>
              <w:ind w:left="4820" w:firstLine="720"/>
            </w:pPr>
          </w:p>
        </w:tc>
      </w:tr>
      <w:tr w:rsidR="00A321C8" w:rsidRPr="00371588" w14:paraId="0C96785B" w14:textId="77777777" w:rsidTr="009D25BC">
        <w:trPr>
          <w:gridAfter w:val="2"/>
          <w:wAfter w:w="5103" w:type="dxa"/>
        </w:trPr>
        <w:tc>
          <w:tcPr>
            <w:tcW w:w="6708" w:type="dxa"/>
          </w:tcPr>
          <w:p w14:paraId="69CA6FD9" w14:textId="77777777" w:rsidR="00A321C8" w:rsidRPr="00371588" w:rsidRDefault="00A321C8" w:rsidP="00A321C8">
            <w:pPr>
              <w:pStyle w:val="naiskr"/>
              <w:spacing w:before="0" w:after="0"/>
            </w:pPr>
            <w:r w:rsidRPr="00371588">
              <w:t>Ministrijas (citas institūcijas), kuras nav ieradušās uz sanāksmi vai kuras nav atbildējušas uz uzaicinājumu piedalīties elektroniskajā saskaņošanā</w:t>
            </w:r>
          </w:p>
        </w:tc>
        <w:tc>
          <w:tcPr>
            <w:tcW w:w="6089" w:type="dxa"/>
          </w:tcPr>
          <w:p w14:paraId="1631B918" w14:textId="632BA151" w:rsidR="00A321C8" w:rsidRPr="00371588" w:rsidRDefault="00A321C8" w:rsidP="00005B63">
            <w:pPr>
              <w:pStyle w:val="naiskr"/>
              <w:spacing w:before="0" w:after="0"/>
            </w:pPr>
            <w:r w:rsidRPr="00411CA9">
              <w:rPr>
                <w:color w:val="000000" w:themeColor="text1"/>
              </w:rPr>
              <w:t>Ekonomikas ministrija, Labklājības ministrija, Zemkopības ministrija</w:t>
            </w:r>
            <w:r w:rsidR="00411CA9">
              <w:rPr>
                <w:color w:val="000000" w:themeColor="text1"/>
              </w:rPr>
              <w:t xml:space="preserve"> </w:t>
            </w:r>
          </w:p>
        </w:tc>
      </w:tr>
      <w:tr w:rsidR="00A321C8" w:rsidRPr="00371588" w14:paraId="7915D9A6" w14:textId="77777777" w:rsidTr="009D25BC">
        <w:trPr>
          <w:gridAfter w:val="2"/>
          <w:wAfter w:w="5103" w:type="dxa"/>
        </w:trPr>
        <w:tc>
          <w:tcPr>
            <w:tcW w:w="6708" w:type="dxa"/>
          </w:tcPr>
          <w:p w14:paraId="0393FC1A" w14:textId="77777777" w:rsidR="00A321C8" w:rsidRPr="00371588" w:rsidRDefault="00A321C8" w:rsidP="00A321C8">
            <w:pPr>
              <w:pStyle w:val="naiskr"/>
              <w:spacing w:before="0" w:after="0"/>
              <w:ind w:firstLine="720"/>
            </w:pPr>
            <w:r w:rsidRPr="00371588">
              <w:t>  </w:t>
            </w:r>
          </w:p>
        </w:tc>
        <w:tc>
          <w:tcPr>
            <w:tcW w:w="6089" w:type="dxa"/>
            <w:tcBorders>
              <w:top w:val="single" w:sz="6" w:space="0" w:color="000000"/>
              <w:bottom w:val="single" w:sz="6" w:space="0" w:color="000000"/>
            </w:tcBorders>
          </w:tcPr>
          <w:p w14:paraId="5F3B1808" w14:textId="3FD95B46" w:rsidR="00A321C8" w:rsidRPr="00371588" w:rsidRDefault="00A321C8" w:rsidP="00A321C8">
            <w:pPr>
              <w:pStyle w:val="naiskr"/>
              <w:spacing w:before="0" w:after="0"/>
              <w:ind w:firstLine="720"/>
            </w:pPr>
          </w:p>
        </w:tc>
      </w:tr>
    </w:tbl>
    <w:p w14:paraId="16909902" w14:textId="77777777" w:rsidR="00B623BC" w:rsidRPr="00371588" w:rsidRDefault="00B623BC" w:rsidP="00C73711">
      <w:pPr>
        <w:pStyle w:val="naisf"/>
        <w:spacing w:before="0" w:after="0"/>
        <w:ind w:firstLine="0"/>
        <w:jc w:val="center"/>
        <w:rPr>
          <w:b/>
          <w:sz w:val="28"/>
          <w:szCs w:val="28"/>
        </w:rPr>
      </w:pPr>
    </w:p>
    <w:p w14:paraId="483A7FE7" w14:textId="6D32785B" w:rsidR="00C73711" w:rsidRPr="00371588" w:rsidRDefault="000A531F" w:rsidP="00C73711">
      <w:pPr>
        <w:pStyle w:val="naisf"/>
        <w:spacing w:before="0" w:after="0"/>
        <w:ind w:firstLine="0"/>
        <w:jc w:val="center"/>
        <w:rPr>
          <w:b/>
        </w:rPr>
      </w:pPr>
      <w:r w:rsidRPr="00371588">
        <w:rPr>
          <w:b/>
          <w:sz w:val="28"/>
          <w:szCs w:val="28"/>
        </w:rPr>
        <w:t>II.</w:t>
      </w:r>
      <w:r w:rsidR="000A7B5B">
        <w:rPr>
          <w:b/>
          <w:sz w:val="28"/>
          <w:szCs w:val="28"/>
        </w:rPr>
        <w:t> </w:t>
      </w:r>
      <w:r w:rsidR="00930695" w:rsidRPr="00371588">
        <w:rPr>
          <w:b/>
        </w:rPr>
        <w:t>Jautājumi, par kuriem saskaņošanā vienošanās ir panākta</w:t>
      </w:r>
    </w:p>
    <w:tbl>
      <w:tblPr>
        <w:tblStyle w:val="TableGrid"/>
        <w:tblW w:w="14596" w:type="dxa"/>
        <w:tblLayout w:type="fixed"/>
        <w:tblLook w:val="04A0" w:firstRow="1" w:lastRow="0" w:firstColumn="1" w:lastColumn="0" w:noHBand="0" w:noVBand="1"/>
      </w:tblPr>
      <w:tblGrid>
        <w:gridCol w:w="846"/>
        <w:gridCol w:w="2410"/>
        <w:gridCol w:w="4110"/>
        <w:gridCol w:w="3799"/>
        <w:gridCol w:w="3431"/>
      </w:tblGrid>
      <w:tr w:rsidR="00F21F58" w:rsidRPr="00371588" w14:paraId="0595D7DB" w14:textId="40B9FCAF" w:rsidTr="65362092">
        <w:tc>
          <w:tcPr>
            <w:tcW w:w="846" w:type="dxa"/>
          </w:tcPr>
          <w:p w14:paraId="22942910" w14:textId="77777777" w:rsidR="00680FFE" w:rsidRPr="008E660F" w:rsidRDefault="00680FFE" w:rsidP="00680FFE">
            <w:pPr>
              <w:pStyle w:val="naisf"/>
              <w:spacing w:before="0" w:after="0"/>
              <w:ind w:firstLine="0"/>
              <w:jc w:val="center"/>
            </w:pPr>
            <w:r w:rsidRPr="008E660F">
              <w:t>Nr.</w:t>
            </w:r>
          </w:p>
          <w:p w14:paraId="088DC59F" w14:textId="28F7FFE7" w:rsidR="00E23947" w:rsidRPr="008E660F" w:rsidRDefault="00680FFE" w:rsidP="00680FFE">
            <w:pPr>
              <w:pStyle w:val="naisf"/>
              <w:spacing w:before="0" w:after="0"/>
              <w:ind w:firstLine="0"/>
              <w:jc w:val="center"/>
            </w:pPr>
            <w:r w:rsidRPr="008E660F">
              <w:t>p.k.</w:t>
            </w:r>
          </w:p>
        </w:tc>
        <w:tc>
          <w:tcPr>
            <w:tcW w:w="2410" w:type="dxa"/>
          </w:tcPr>
          <w:p w14:paraId="41E30F2C" w14:textId="77777777" w:rsidR="00E23947" w:rsidRPr="00371588" w:rsidRDefault="00E23947" w:rsidP="0016680D">
            <w:pPr>
              <w:pStyle w:val="naisf"/>
              <w:spacing w:before="0" w:after="0"/>
              <w:ind w:firstLine="0"/>
              <w:jc w:val="center"/>
            </w:pPr>
            <w:r w:rsidRPr="00371588">
              <w:t>Saskaņošanai nosūtītā projekta redakcija (konkrēta punkta (panta) redakcija)</w:t>
            </w:r>
          </w:p>
        </w:tc>
        <w:tc>
          <w:tcPr>
            <w:tcW w:w="4110" w:type="dxa"/>
          </w:tcPr>
          <w:p w14:paraId="3EC9DD7B" w14:textId="77777777" w:rsidR="00E23947" w:rsidRPr="00371588" w:rsidRDefault="00E23947" w:rsidP="0016680D">
            <w:pPr>
              <w:pStyle w:val="naisf"/>
              <w:spacing w:before="0" w:after="0"/>
              <w:ind w:firstLine="0"/>
              <w:jc w:val="center"/>
            </w:pPr>
            <w:r w:rsidRPr="00371588">
              <w:t>Atzinumā norādītais ministrijas (citas institūcijas) iebildums, kā arī saskaņošanā papildus izteiktais iebildums par projekta konkrēto punktu (pantu)</w:t>
            </w:r>
          </w:p>
        </w:tc>
        <w:tc>
          <w:tcPr>
            <w:tcW w:w="3799" w:type="dxa"/>
          </w:tcPr>
          <w:p w14:paraId="614290FF" w14:textId="77777777" w:rsidR="00E23947" w:rsidRPr="00371588" w:rsidRDefault="00E23947" w:rsidP="0016680D">
            <w:pPr>
              <w:pStyle w:val="naisf"/>
              <w:spacing w:before="0" w:after="0"/>
              <w:ind w:firstLine="0"/>
              <w:jc w:val="center"/>
            </w:pPr>
            <w:r w:rsidRPr="00371588">
              <w:t>Atbildīgās ministrijas norāde par to, ka iebildums ir ņemts vērā, vai informācija par saskaņošanā panākto alternatīvo risinājumu</w:t>
            </w:r>
          </w:p>
        </w:tc>
        <w:tc>
          <w:tcPr>
            <w:tcW w:w="3431" w:type="dxa"/>
          </w:tcPr>
          <w:p w14:paraId="3A1FA110" w14:textId="571BB516" w:rsidR="00E23947" w:rsidRPr="00371588" w:rsidRDefault="00E23947" w:rsidP="0016680D">
            <w:pPr>
              <w:pStyle w:val="naisf"/>
              <w:spacing w:before="0" w:after="0"/>
              <w:ind w:firstLine="0"/>
              <w:jc w:val="center"/>
            </w:pPr>
            <w:r w:rsidRPr="00371588">
              <w:t>Projekta attiecīgā punkta (panta) galīgā redakcija</w:t>
            </w:r>
          </w:p>
        </w:tc>
      </w:tr>
      <w:tr w:rsidR="007F5790" w:rsidRPr="00371588" w14:paraId="47C66A8B" w14:textId="77777777" w:rsidTr="65362092">
        <w:tc>
          <w:tcPr>
            <w:tcW w:w="846" w:type="dxa"/>
          </w:tcPr>
          <w:p w14:paraId="4494BB1C" w14:textId="50DCCD8C" w:rsidR="007F5790" w:rsidRPr="008E660F" w:rsidRDefault="00554FBA" w:rsidP="0016680D">
            <w:pPr>
              <w:pStyle w:val="naisf"/>
              <w:spacing w:before="0" w:after="0"/>
              <w:ind w:firstLine="0"/>
              <w:jc w:val="center"/>
            </w:pPr>
            <w:r w:rsidRPr="008E660F">
              <w:t>1.</w:t>
            </w:r>
          </w:p>
        </w:tc>
        <w:tc>
          <w:tcPr>
            <w:tcW w:w="2410" w:type="dxa"/>
          </w:tcPr>
          <w:p w14:paraId="7D3520CD" w14:textId="4E1B2E27" w:rsidR="0066749A" w:rsidRPr="0066749A" w:rsidRDefault="00D8294B" w:rsidP="0066749A">
            <w:pPr>
              <w:ind w:firstLine="34"/>
              <w:jc w:val="both"/>
            </w:pPr>
            <w:r w:rsidRPr="0066749A">
              <w:t>Likumprojekta</w:t>
            </w:r>
            <w:r w:rsidR="007F5790" w:rsidRPr="0066749A">
              <w:t xml:space="preserve"> </w:t>
            </w:r>
            <w:r w:rsidR="009475FB" w:rsidRPr="0066749A">
              <w:t>3</w:t>
            </w:r>
            <w:r w:rsidRPr="0066749A">
              <w:t>. </w:t>
            </w:r>
            <w:r w:rsidR="002C2D51" w:rsidRPr="0066749A">
              <w:t xml:space="preserve">panta </w:t>
            </w:r>
            <w:r w:rsidR="009475FB" w:rsidRPr="0066749A">
              <w:t xml:space="preserve">(iepriekš 2. pantā) </w:t>
            </w:r>
            <w:r w:rsidR="002C2D51" w:rsidRPr="0066749A">
              <w:t xml:space="preserve">paredzētais Ķīmisko vielu likuma (turpmāk – likums) papildinājums </w:t>
            </w:r>
            <w:r w:rsidR="0066749A" w:rsidRPr="0066749A">
              <w:t>šādā redakcijā:</w:t>
            </w:r>
          </w:p>
          <w:p w14:paraId="7A385440" w14:textId="77777777" w:rsidR="0066749A" w:rsidRPr="0066749A" w:rsidRDefault="0066749A" w:rsidP="0066749A">
            <w:pPr>
              <w:pStyle w:val="tv2132"/>
              <w:spacing w:line="240" w:lineRule="auto"/>
              <w:ind w:firstLine="0"/>
              <w:rPr>
                <w:rFonts w:ascii="Arial" w:hAnsi="Arial" w:cs="Arial"/>
                <w:sz w:val="24"/>
                <w:szCs w:val="24"/>
              </w:rPr>
            </w:pPr>
            <w:r w:rsidRPr="0066749A">
              <w:rPr>
                <w:sz w:val="24"/>
                <w:szCs w:val="24"/>
              </w:rPr>
              <w:t>“</w:t>
            </w:r>
            <w:r w:rsidRPr="0066749A">
              <w:rPr>
                <w:rFonts w:eastAsiaTheme="minorHAnsi"/>
                <w:b/>
                <w:color w:val="auto"/>
                <w:sz w:val="24"/>
                <w:szCs w:val="24"/>
                <w:lang w:eastAsia="en-US"/>
              </w:rPr>
              <w:t>9.</w:t>
            </w:r>
            <w:r w:rsidRPr="0066749A">
              <w:rPr>
                <w:rFonts w:eastAsiaTheme="minorHAnsi"/>
                <w:b/>
                <w:color w:val="auto"/>
                <w:sz w:val="24"/>
                <w:szCs w:val="24"/>
                <w:vertAlign w:val="superscript"/>
                <w:lang w:eastAsia="en-US"/>
              </w:rPr>
              <w:t>1</w:t>
            </w:r>
            <w:r w:rsidRPr="0066749A">
              <w:rPr>
                <w:rFonts w:eastAsiaTheme="minorHAnsi"/>
                <w:b/>
                <w:color w:val="auto"/>
                <w:sz w:val="24"/>
                <w:szCs w:val="24"/>
                <w:lang w:eastAsia="en-US"/>
              </w:rPr>
              <w:t xml:space="preserve"> pants. Zaudējumu atlīdzināšana</w:t>
            </w:r>
          </w:p>
          <w:p w14:paraId="5E051E26" w14:textId="77777777" w:rsidR="0066749A" w:rsidRPr="0066749A" w:rsidRDefault="0066749A" w:rsidP="0066749A">
            <w:pPr>
              <w:jc w:val="both"/>
            </w:pPr>
            <w:r w:rsidRPr="0066749A">
              <w:t xml:space="preserve">(1) Ja, veicot darbības ar ķīmiskajām vielām vai maisījumiem, ir piesārņota vide vai būves, kaitējumu </w:t>
            </w:r>
            <w:r w:rsidRPr="0066749A">
              <w:lastRenderedPageBreak/>
              <w:t>pieļāvušais darbību veicējs nodrošina vides un būvju attīrīšanu par saviem līdzekļiem tā, lai piesārņojums turpmāk neapdraudētu vidi, cilvēku dzīvību, veselību un īpašumu.</w:t>
            </w:r>
          </w:p>
          <w:p w14:paraId="18DB0102" w14:textId="74E063C8" w:rsidR="007F5790" w:rsidRPr="00926D97" w:rsidRDefault="0066749A" w:rsidP="00926D97">
            <w:pPr>
              <w:spacing w:before="120" w:after="120"/>
              <w:jc w:val="both"/>
              <w:rPr>
                <w:b/>
              </w:rPr>
            </w:pPr>
            <w:r w:rsidRPr="0066749A">
              <w:t>(2) Ja, veicot darbības ar ķīmiskajām vielām vai maisījumiem, ir nodarīts kaitējums videi, cilvēku veselībai vai īpašumam, kaitējumu pieļāvušais darbību veicējs atlīdzina nodarīto kaitējumu likumos un citos normatīvajos aktos noteiktajā kārtībā.”</w:t>
            </w:r>
          </w:p>
        </w:tc>
        <w:tc>
          <w:tcPr>
            <w:tcW w:w="4110" w:type="dxa"/>
          </w:tcPr>
          <w:p w14:paraId="24C2696B" w14:textId="1F99EE1A" w:rsidR="007F5790" w:rsidRDefault="007F5790" w:rsidP="0016680D">
            <w:pPr>
              <w:pStyle w:val="ListParagraph"/>
              <w:ind w:left="0"/>
              <w:jc w:val="both"/>
              <w:rPr>
                <w:b/>
                <w:bCs/>
              </w:rPr>
            </w:pPr>
            <w:r w:rsidRPr="00371588">
              <w:rPr>
                <w:b/>
                <w:bCs/>
              </w:rPr>
              <w:lastRenderedPageBreak/>
              <w:t>Tieslietu ministrijas 2019. gada 2</w:t>
            </w:r>
            <w:r w:rsidR="00D8294B">
              <w:rPr>
                <w:b/>
                <w:bCs/>
              </w:rPr>
              <w:t>5</w:t>
            </w:r>
            <w:r w:rsidRPr="00371588">
              <w:rPr>
                <w:b/>
                <w:bCs/>
              </w:rPr>
              <w:t>. </w:t>
            </w:r>
            <w:r w:rsidR="00D8294B">
              <w:rPr>
                <w:b/>
                <w:bCs/>
              </w:rPr>
              <w:t>septembra atzinums Nr. 1-9.1/990</w:t>
            </w:r>
          </w:p>
          <w:p w14:paraId="3E4D1618" w14:textId="77777777" w:rsidR="00005B63" w:rsidRPr="00371588" w:rsidRDefault="00005B63" w:rsidP="0016680D">
            <w:pPr>
              <w:pStyle w:val="ListParagraph"/>
              <w:ind w:left="0"/>
              <w:jc w:val="both"/>
              <w:rPr>
                <w:b/>
                <w:bCs/>
              </w:rPr>
            </w:pPr>
          </w:p>
          <w:p w14:paraId="52DC4F14" w14:textId="77777777" w:rsidR="00D8294B" w:rsidRDefault="00D8294B" w:rsidP="00005B63">
            <w:pPr>
              <w:jc w:val="both"/>
            </w:pPr>
            <w:r>
              <w:t>1. Projekta 2. pantā paredzēts papildināt Ķīmisko vielu likumu (turpmāk – likums) ar 9.</w:t>
            </w:r>
            <w:r w:rsidRPr="00474AC2">
              <w:rPr>
                <w:vertAlign w:val="superscript"/>
              </w:rPr>
              <w:t>1</w:t>
            </w:r>
            <w:r>
              <w:t xml:space="preserve"> pantu, proti, nosakot, ka kaitējumu pieļāvušajam darbību veicējam ir pienākums veikt vides un būvju attīrīšanu par saviem līdzekļiem, kā arī atlīdzināt nodarīto kaitējumu likumos un citos normatīvajos aktos noteiktajā kārtībā. </w:t>
            </w:r>
          </w:p>
          <w:p w14:paraId="1D451456" w14:textId="77777777" w:rsidR="00D8294B" w:rsidRDefault="00D8294B" w:rsidP="00005B63">
            <w:pPr>
              <w:jc w:val="both"/>
            </w:pPr>
          </w:p>
          <w:p w14:paraId="68D29E89" w14:textId="77777777" w:rsidR="00D8294B" w:rsidRDefault="00D8294B" w:rsidP="00005B63">
            <w:pPr>
              <w:jc w:val="both"/>
              <w:rPr>
                <w:i/>
                <w:iCs/>
              </w:rPr>
            </w:pPr>
            <w:r>
              <w:t xml:space="preserve">Norādām, ka viens no vides aizsardzības principiem ir "piesārņotājs maksā", kas šobrīd jau ir nostiprināts </w:t>
            </w:r>
            <w:r>
              <w:lastRenderedPageBreak/>
              <w:t xml:space="preserve">Vides aizsardzības likumā </w:t>
            </w:r>
            <w:r w:rsidRPr="00781EE9">
              <w:rPr>
                <w:i/>
                <w:iCs/>
              </w:rPr>
              <w:t>(skatīt</w:t>
            </w:r>
            <w:r>
              <w:rPr>
                <w:i/>
                <w:iCs/>
              </w:rPr>
              <w:t>, piemēram,</w:t>
            </w:r>
            <w:r w:rsidRPr="00781EE9">
              <w:rPr>
                <w:i/>
                <w:iCs/>
              </w:rPr>
              <w:t xml:space="preserve"> minētā likuma 3. panta pirmās daļas 1. punktu</w:t>
            </w:r>
            <w:r>
              <w:rPr>
                <w:i/>
                <w:iCs/>
              </w:rPr>
              <w:t xml:space="preserve"> un</w:t>
            </w:r>
            <w:r w:rsidRPr="00781EE9">
              <w:rPr>
                <w:i/>
                <w:iCs/>
              </w:rPr>
              <w:t xml:space="preserve"> 25. panta trešo daļu). </w:t>
            </w:r>
          </w:p>
          <w:p w14:paraId="32764AA1" w14:textId="77777777" w:rsidR="00D8294B" w:rsidRDefault="00D8294B" w:rsidP="00005B63">
            <w:pPr>
              <w:jc w:val="both"/>
              <w:rPr>
                <w:i/>
                <w:iCs/>
              </w:rPr>
            </w:pPr>
          </w:p>
          <w:p w14:paraId="7318D9AA" w14:textId="77777777" w:rsidR="00D8294B" w:rsidRPr="004A0F38" w:rsidRDefault="00D8294B" w:rsidP="00005B63">
            <w:pPr>
              <w:jc w:val="both"/>
            </w:pPr>
            <w:r>
              <w:t xml:space="preserve">Ievērojot minēto, kā arī to, ka normatīvā akta projektā </w:t>
            </w:r>
            <w:r w:rsidRPr="004A0F38">
              <w:t>neietver normas, kas dublē augstāka vai tāda paša spēka normatīvā akta tiesību normās ietverto normatīvo regulējumu</w:t>
            </w:r>
            <w:r>
              <w:t xml:space="preserve"> </w:t>
            </w:r>
            <w:r w:rsidRPr="00584849">
              <w:rPr>
                <w:i/>
                <w:iCs/>
              </w:rPr>
              <w:t>(Ministru kabineta 2009. gada 3. </w:t>
            </w:r>
            <w:r w:rsidRPr="0066749A">
              <w:rPr>
                <w:i/>
                <w:iCs/>
              </w:rPr>
              <w:t>februāra noteikumu Nr. 108 "Normatīvo aktu projektu sagatavošanas noteikumi" 3.2. apakšpunkts</w:t>
            </w:r>
            <w:r w:rsidRPr="0066749A">
              <w:t>), lūdzam izvērtēt projekta 2. panta izslēgšanu no projekta.</w:t>
            </w:r>
            <w:r>
              <w:t xml:space="preserve"> </w:t>
            </w:r>
          </w:p>
          <w:p w14:paraId="75E08AE1" w14:textId="1686F7C7" w:rsidR="007F5790" w:rsidRPr="00371588" w:rsidRDefault="007F5790" w:rsidP="0016680D">
            <w:pPr>
              <w:pStyle w:val="paragraph"/>
              <w:spacing w:before="0" w:beforeAutospacing="0" w:after="0" w:afterAutospacing="0"/>
              <w:jc w:val="both"/>
              <w:textAlignment w:val="baseline"/>
            </w:pPr>
          </w:p>
        </w:tc>
        <w:tc>
          <w:tcPr>
            <w:tcW w:w="3799" w:type="dxa"/>
          </w:tcPr>
          <w:p w14:paraId="79DA6354" w14:textId="7A26A363" w:rsidR="00B93C0B" w:rsidRPr="00926D97" w:rsidRDefault="00B93C0B" w:rsidP="0066749A">
            <w:pPr>
              <w:pStyle w:val="BodyText"/>
              <w:spacing w:after="0"/>
              <w:jc w:val="both"/>
              <w:rPr>
                <w:rFonts w:eastAsia="Calibri"/>
                <w:b/>
                <w:bCs/>
                <w:lang w:eastAsia="en-US"/>
              </w:rPr>
            </w:pPr>
            <w:r w:rsidRPr="00926D97">
              <w:rPr>
                <w:rFonts w:eastAsia="Calibri"/>
                <w:b/>
                <w:bCs/>
                <w:lang w:eastAsia="en-US"/>
              </w:rPr>
              <w:lastRenderedPageBreak/>
              <w:t xml:space="preserve">Iebildums ņemts vērā. </w:t>
            </w:r>
          </w:p>
          <w:p w14:paraId="4835E7C4" w14:textId="5A68ED11" w:rsidR="007F5790" w:rsidRPr="00926D97" w:rsidRDefault="007F5790" w:rsidP="007B204E">
            <w:pPr>
              <w:jc w:val="both"/>
              <w:rPr>
                <w:strike/>
              </w:rPr>
            </w:pPr>
          </w:p>
        </w:tc>
        <w:tc>
          <w:tcPr>
            <w:tcW w:w="3431" w:type="dxa"/>
          </w:tcPr>
          <w:p w14:paraId="14EC4958" w14:textId="70BD48C3" w:rsidR="00A674CE" w:rsidRPr="00846E46" w:rsidRDefault="00A10E39" w:rsidP="00846E46">
            <w:pPr>
              <w:jc w:val="both"/>
            </w:pPr>
            <w:r w:rsidRPr="00926D97">
              <w:t xml:space="preserve">Likumprojekta </w:t>
            </w:r>
            <w:r w:rsidR="004E4583" w:rsidRPr="00926D97">
              <w:t>pants</w:t>
            </w:r>
            <w:r w:rsidR="0FA9E043" w:rsidRPr="00926D97">
              <w:t xml:space="preserve"> </w:t>
            </w:r>
            <w:r w:rsidR="00926D97">
              <w:t xml:space="preserve">par zaudējumu atlīdzināšanu </w:t>
            </w:r>
            <w:r w:rsidR="0FA9E043" w:rsidRPr="00926D97">
              <w:t>izslēgts</w:t>
            </w:r>
            <w:r w:rsidR="00503CDB">
              <w:t xml:space="preserve"> no </w:t>
            </w:r>
            <w:r w:rsidR="00846E46">
              <w:t>likum</w:t>
            </w:r>
            <w:r w:rsidR="00503CDB">
              <w:t>projekta</w:t>
            </w:r>
            <w:r w:rsidR="4CF69045" w:rsidRPr="00926D97">
              <w:t>.</w:t>
            </w:r>
          </w:p>
        </w:tc>
      </w:tr>
      <w:tr w:rsidR="007F5790" w:rsidRPr="00371588" w14:paraId="12F6F33F" w14:textId="77777777" w:rsidTr="65362092">
        <w:tc>
          <w:tcPr>
            <w:tcW w:w="846" w:type="dxa"/>
          </w:tcPr>
          <w:p w14:paraId="5640636E" w14:textId="41C662D4" w:rsidR="007F5790" w:rsidRPr="008E660F" w:rsidRDefault="00554FBA" w:rsidP="0016680D">
            <w:pPr>
              <w:pStyle w:val="naisf"/>
              <w:spacing w:before="0" w:after="0"/>
              <w:ind w:firstLine="0"/>
              <w:jc w:val="center"/>
            </w:pPr>
            <w:r w:rsidRPr="008E660F">
              <w:t>2.</w:t>
            </w:r>
          </w:p>
        </w:tc>
        <w:tc>
          <w:tcPr>
            <w:tcW w:w="2410" w:type="dxa"/>
          </w:tcPr>
          <w:p w14:paraId="5E66E11D" w14:textId="21093204" w:rsidR="007F5790" w:rsidRPr="0066749A" w:rsidRDefault="00D8294B" w:rsidP="001C3F79">
            <w:pPr>
              <w:jc w:val="both"/>
            </w:pPr>
            <w:r w:rsidRPr="0066749A">
              <w:t xml:space="preserve">Likumprojekta </w:t>
            </w:r>
            <w:r w:rsidR="009475FB" w:rsidRPr="0066749A">
              <w:t>4</w:t>
            </w:r>
            <w:r w:rsidR="002C2D51" w:rsidRPr="0066749A">
              <w:t>. pantā</w:t>
            </w:r>
            <w:r w:rsidR="009475FB" w:rsidRPr="0066749A">
              <w:t xml:space="preserve"> (iepriekš 3.</w:t>
            </w:r>
            <w:r w:rsidR="003B04B9">
              <w:t> </w:t>
            </w:r>
            <w:r w:rsidR="009475FB" w:rsidRPr="0066749A">
              <w:t>pantā)</w:t>
            </w:r>
            <w:r w:rsidR="002C2D51" w:rsidRPr="0066749A">
              <w:t xml:space="preserve"> paredzētā likuma 20. panta pirmā daļa</w:t>
            </w:r>
            <w:r w:rsidR="0066749A" w:rsidRPr="0066749A">
              <w:t>:</w:t>
            </w:r>
          </w:p>
          <w:p w14:paraId="7BDDB753" w14:textId="004902BC" w:rsidR="0066749A" w:rsidRPr="0066749A" w:rsidRDefault="0066749A" w:rsidP="0066749A">
            <w:pPr>
              <w:jc w:val="both"/>
              <w:rPr>
                <w:b/>
                <w:szCs w:val="28"/>
              </w:rPr>
            </w:pPr>
            <w:r w:rsidRPr="0066749A">
              <w:rPr>
                <w:b/>
                <w:szCs w:val="28"/>
              </w:rPr>
              <w:t>“20. pants. Administratīvie pārkāpumi</w:t>
            </w:r>
            <w:r w:rsidRPr="0066749A" w:rsidDel="009A1188">
              <w:rPr>
                <w:b/>
                <w:szCs w:val="28"/>
              </w:rPr>
              <w:t xml:space="preserve"> </w:t>
            </w:r>
            <w:r w:rsidRPr="0066749A">
              <w:rPr>
                <w:b/>
                <w:szCs w:val="28"/>
              </w:rPr>
              <w:t xml:space="preserve">ķīmisko vielu reģistrēšanas, </w:t>
            </w:r>
            <w:r w:rsidRPr="0066749A">
              <w:rPr>
                <w:b/>
                <w:szCs w:val="28"/>
              </w:rPr>
              <w:lastRenderedPageBreak/>
              <w:t>ierobežošanas un licencēšanas jomā</w:t>
            </w:r>
          </w:p>
          <w:p w14:paraId="03CED82D" w14:textId="77777777" w:rsidR="0066749A" w:rsidRPr="0066749A" w:rsidRDefault="0066749A" w:rsidP="0066749A">
            <w:pPr>
              <w:spacing w:before="120"/>
              <w:jc w:val="both"/>
              <w:rPr>
                <w:szCs w:val="28"/>
              </w:rPr>
            </w:pPr>
            <w:r w:rsidRPr="0066749A">
              <w:rPr>
                <w:szCs w:val="28"/>
              </w:rPr>
              <w:t>(1) Par piegādātāja pienākuma nodrošināt ķīmiskās vielas vai maisījuma saņēmēju ar drošības datu lapu nepildīšanu vai par drošības datu lapas neaizpildīšanu par bīstamām ķīmiskajām vielām vai bīstamiem maisījumiem, par nepatiesas vai nepilnīgas informācijas norādīšanu drošības datu lapā —</w:t>
            </w:r>
          </w:p>
          <w:p w14:paraId="3147F4EA" w14:textId="06821E35" w:rsidR="0066749A" w:rsidRPr="0066749A" w:rsidRDefault="0066749A" w:rsidP="0066749A">
            <w:pPr>
              <w:spacing w:before="120"/>
              <w:jc w:val="both"/>
              <w:rPr>
                <w:szCs w:val="28"/>
              </w:rPr>
            </w:pPr>
            <w:r w:rsidRPr="0066749A">
              <w:rPr>
                <w:szCs w:val="28"/>
              </w:rPr>
              <w:t xml:space="preserve">piemēro brīdinājumu vai naudas sodu fiziskajām personām no piecdesmit sešām līdz simt četrdesmit naudas soda vienībām, bet juridiskajām personām – no simt četrdesmit līdz divsimt astoņdesmit naudas soda vienībām.” </w:t>
            </w:r>
          </w:p>
          <w:p w14:paraId="190451C7" w14:textId="6045D8D9" w:rsidR="001F7B5C" w:rsidRPr="0066749A" w:rsidRDefault="001F7B5C" w:rsidP="001C3F79">
            <w:pPr>
              <w:jc w:val="both"/>
            </w:pPr>
          </w:p>
          <w:p w14:paraId="7F334C0C" w14:textId="1DCB0669" w:rsidR="001F7B5C" w:rsidRPr="0066749A" w:rsidRDefault="001F7B5C" w:rsidP="001C3F79">
            <w:pPr>
              <w:jc w:val="both"/>
              <w:rPr>
                <w:color w:val="A6A6A6" w:themeColor="background1" w:themeShade="A6"/>
              </w:rPr>
            </w:pPr>
          </w:p>
        </w:tc>
        <w:tc>
          <w:tcPr>
            <w:tcW w:w="4110" w:type="dxa"/>
          </w:tcPr>
          <w:p w14:paraId="50D0BC2B" w14:textId="77777777" w:rsidR="00D8294B" w:rsidRDefault="00D8294B" w:rsidP="00D8294B">
            <w:pPr>
              <w:pStyle w:val="ListParagraph"/>
              <w:ind w:left="0"/>
              <w:jc w:val="both"/>
              <w:rPr>
                <w:b/>
                <w:bCs/>
              </w:rPr>
            </w:pPr>
            <w:r w:rsidRPr="0066749A">
              <w:rPr>
                <w:b/>
                <w:bCs/>
              </w:rPr>
              <w:lastRenderedPageBreak/>
              <w:t>Tieslietu ministrijas 2019. gada 25. septembra atzinums Nr. 1-9.1/990</w:t>
            </w:r>
          </w:p>
          <w:p w14:paraId="2E557E0C" w14:textId="77777777" w:rsidR="00005B63" w:rsidRPr="0066749A" w:rsidRDefault="00005B63" w:rsidP="00D8294B">
            <w:pPr>
              <w:pStyle w:val="ListParagraph"/>
              <w:ind w:left="0"/>
              <w:jc w:val="both"/>
              <w:rPr>
                <w:b/>
                <w:bCs/>
              </w:rPr>
            </w:pPr>
          </w:p>
          <w:p w14:paraId="7AA98D59" w14:textId="236D9EF6" w:rsidR="00D8294B" w:rsidRPr="0066749A" w:rsidRDefault="00D8294B" w:rsidP="00005B63">
            <w:pPr>
              <w:jc w:val="both"/>
            </w:pPr>
            <w:r w:rsidRPr="0066749A">
              <w:t>2. Projekta 3. pantā paredzētajā likuma 20. panta pirmajā daļā ir apvienoti Latvijas Administratīvo pārkāpumu kodeksa 88.</w:t>
            </w:r>
            <w:r w:rsidRPr="0066749A">
              <w:rPr>
                <w:vertAlign w:val="superscript"/>
              </w:rPr>
              <w:t>8</w:t>
            </w:r>
            <w:r w:rsidRPr="0066749A">
              <w:t xml:space="preserve"> panta trešajā un ceturtajā daļā esoši administratīvā pārkāpuma sastāvi. </w:t>
            </w:r>
          </w:p>
          <w:p w14:paraId="6DF9676F" w14:textId="2E4422CC" w:rsidR="007F5790" w:rsidRPr="0066749A" w:rsidRDefault="00D8294B" w:rsidP="00005B63">
            <w:pPr>
              <w:jc w:val="both"/>
              <w:rPr>
                <w:i/>
                <w:iCs/>
              </w:rPr>
            </w:pPr>
            <w:r w:rsidRPr="0066749A">
              <w:lastRenderedPageBreak/>
              <w:t xml:space="preserve">Lūdzam izvērtēt projekta 3. pantā paredzētā likuma 20. panta pirmajā daļā minēto administratīvā pārkāpumu sastāvu "izdalīšanu" atsevišķās panta daļās, proti, nodalot situācijas, kad drošības datu lapu nav aizpildījis izstrādājumu piegādātājs, no situācijām, kad drošības datu lapu nav aizpildījuši citi piegādes ķēdes dalībnieki </w:t>
            </w:r>
            <w:r w:rsidRPr="0066749A">
              <w:rPr>
                <w:i/>
                <w:iCs/>
              </w:rPr>
              <w:t>(skatīt Eiropas Parlamenta un Padomes 2006. gada 18. decembra regulu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w:t>
            </w:r>
          </w:p>
        </w:tc>
        <w:tc>
          <w:tcPr>
            <w:tcW w:w="3799" w:type="dxa"/>
          </w:tcPr>
          <w:p w14:paraId="363BC07F" w14:textId="12629C9E" w:rsidR="00E63FE0" w:rsidRDefault="00D8294B" w:rsidP="0016680D">
            <w:pPr>
              <w:jc w:val="both"/>
              <w:rPr>
                <w:rFonts w:eastAsia="Calibri"/>
                <w:b/>
                <w:bCs/>
                <w:lang w:eastAsia="en-US"/>
              </w:rPr>
            </w:pPr>
            <w:r w:rsidRPr="0066749A">
              <w:rPr>
                <w:rFonts w:eastAsia="Calibri"/>
                <w:b/>
                <w:bCs/>
                <w:lang w:eastAsia="en-US"/>
              </w:rPr>
              <w:lastRenderedPageBreak/>
              <w:t>Iebildums ņemts vērā.</w:t>
            </w:r>
            <w:r w:rsidR="0063295E" w:rsidRPr="0066749A">
              <w:rPr>
                <w:rFonts w:eastAsia="Calibri"/>
                <w:b/>
                <w:bCs/>
                <w:lang w:eastAsia="en-US"/>
              </w:rPr>
              <w:t xml:space="preserve"> </w:t>
            </w:r>
          </w:p>
          <w:p w14:paraId="582B8FBD" w14:textId="77777777" w:rsidR="007C711E" w:rsidRPr="0066749A" w:rsidRDefault="007C711E" w:rsidP="0016680D">
            <w:pPr>
              <w:jc w:val="both"/>
              <w:rPr>
                <w:rStyle w:val="normaltextrun"/>
              </w:rPr>
            </w:pPr>
          </w:p>
          <w:p w14:paraId="0CE5C1FD" w14:textId="7B58CFA8" w:rsidR="00EB5DFF" w:rsidRPr="0066749A" w:rsidRDefault="00EB5DFF" w:rsidP="00842CBC">
            <w:pPr>
              <w:jc w:val="both"/>
            </w:pPr>
            <w:r w:rsidRPr="0066749A">
              <w:rPr>
                <w:rStyle w:val="normaltextrun"/>
              </w:rPr>
              <w:t xml:space="preserve">Likumprojekta 20. panta pirmajā daļā ir apvienoti </w:t>
            </w:r>
            <w:r w:rsidRPr="0066749A">
              <w:t>88.</w:t>
            </w:r>
            <w:r w:rsidRPr="0066749A">
              <w:rPr>
                <w:vertAlign w:val="superscript"/>
              </w:rPr>
              <w:t>8</w:t>
            </w:r>
            <w:r w:rsidRPr="0066749A">
              <w:t xml:space="preserve"> panta </w:t>
            </w:r>
            <w:r w:rsidRPr="0066749A">
              <w:rPr>
                <w:i/>
              </w:rPr>
              <w:t>ceturtajā</w:t>
            </w:r>
            <w:r w:rsidRPr="0066749A">
              <w:rPr>
                <w:b/>
              </w:rPr>
              <w:t xml:space="preserve"> </w:t>
            </w:r>
            <w:r w:rsidRPr="0066749A">
              <w:rPr>
                <w:i/>
              </w:rPr>
              <w:t>un piektajā</w:t>
            </w:r>
            <w:r w:rsidRPr="0066749A">
              <w:t xml:space="preserve"> daļā esoši administratīvā pārkāpuma sastāvi</w:t>
            </w:r>
            <w:r w:rsidR="00DA1201" w:rsidRPr="0066749A">
              <w:t xml:space="preserve"> kā norādīts likumprojekta anotācijā</w:t>
            </w:r>
            <w:r w:rsidRPr="0066749A">
              <w:t xml:space="preserve">. </w:t>
            </w:r>
          </w:p>
          <w:p w14:paraId="28A19017" w14:textId="77777777" w:rsidR="00EB5DFF" w:rsidRPr="0066749A" w:rsidRDefault="00EB5DFF" w:rsidP="0016680D">
            <w:pPr>
              <w:jc w:val="both"/>
              <w:rPr>
                <w:rStyle w:val="normaltextrun"/>
              </w:rPr>
            </w:pPr>
          </w:p>
          <w:p w14:paraId="7927E998" w14:textId="3C1721FC" w:rsidR="00EB5DFF" w:rsidRPr="0066749A" w:rsidRDefault="00E63FE0" w:rsidP="0016680D">
            <w:pPr>
              <w:jc w:val="both"/>
              <w:rPr>
                <w:rStyle w:val="normaltextrun"/>
              </w:rPr>
            </w:pPr>
            <w:r w:rsidRPr="0066749A">
              <w:rPr>
                <w:rStyle w:val="normaltextrun"/>
              </w:rPr>
              <w:t>Saskaņā ar regulas Nr.</w:t>
            </w:r>
            <w:r w:rsidR="006D7258" w:rsidRPr="0066749A">
              <w:rPr>
                <w:rStyle w:val="normaltextrun"/>
              </w:rPr>
              <w:t> </w:t>
            </w:r>
            <w:r w:rsidRPr="0066749A">
              <w:rPr>
                <w:rStyle w:val="normaltextrun"/>
              </w:rPr>
              <w:t>1907/2006 31.</w:t>
            </w:r>
            <w:r w:rsidR="00632495" w:rsidRPr="0066749A">
              <w:rPr>
                <w:rStyle w:val="normaltextrun"/>
              </w:rPr>
              <w:t> </w:t>
            </w:r>
            <w:r w:rsidRPr="0066749A">
              <w:rPr>
                <w:rStyle w:val="normaltextrun"/>
              </w:rPr>
              <w:t>pant</w:t>
            </w:r>
            <w:r w:rsidR="00E22206" w:rsidRPr="0066749A">
              <w:rPr>
                <w:rStyle w:val="normaltextrun"/>
              </w:rPr>
              <w:t>a 1. punktu</w:t>
            </w:r>
            <w:r w:rsidRPr="0066749A">
              <w:rPr>
                <w:rStyle w:val="normaltextrun"/>
              </w:rPr>
              <w:t xml:space="preserve">, drošības datu </w:t>
            </w:r>
            <w:r w:rsidRPr="0066749A">
              <w:rPr>
                <w:rStyle w:val="normaltextrun"/>
              </w:rPr>
              <w:lastRenderedPageBreak/>
              <w:t xml:space="preserve">lapas </w:t>
            </w:r>
            <w:r w:rsidR="00EB5DFF" w:rsidRPr="0066749A">
              <w:rPr>
                <w:rStyle w:val="normaltextrun"/>
              </w:rPr>
              <w:t xml:space="preserve">nodrošina </w:t>
            </w:r>
            <w:r w:rsidR="006D7258" w:rsidRPr="0066749A">
              <w:rPr>
                <w:rStyle w:val="normaltextrun"/>
                <w:i/>
              </w:rPr>
              <w:t>vielas</w:t>
            </w:r>
            <w:r w:rsidR="006D7258" w:rsidRPr="0066749A">
              <w:rPr>
                <w:rStyle w:val="normaltextrun"/>
              </w:rPr>
              <w:t xml:space="preserve"> (regulas Nr. 1907/2006 3. panta 1. punktā ietverta definīcija) vai </w:t>
            </w:r>
            <w:r w:rsidR="006D7258" w:rsidRPr="0066749A">
              <w:rPr>
                <w:rStyle w:val="normaltextrun"/>
                <w:i/>
              </w:rPr>
              <w:t>maisījuma</w:t>
            </w:r>
            <w:r w:rsidR="006D7258" w:rsidRPr="0066749A">
              <w:rPr>
                <w:rStyle w:val="normaltextrun"/>
              </w:rPr>
              <w:t xml:space="preserve"> (regulas Nr. 1907/2006 3. panta </w:t>
            </w:r>
            <w:r w:rsidR="005030C5" w:rsidRPr="0066749A">
              <w:rPr>
                <w:rStyle w:val="normaltextrun"/>
              </w:rPr>
              <w:t>2</w:t>
            </w:r>
            <w:r w:rsidR="006D7258" w:rsidRPr="0066749A">
              <w:rPr>
                <w:rStyle w:val="normaltextrun"/>
              </w:rPr>
              <w:t>. punktā ietverta definīcija) piegādā</w:t>
            </w:r>
            <w:r w:rsidR="00EB5DFF" w:rsidRPr="0066749A">
              <w:rPr>
                <w:rStyle w:val="normaltextrun"/>
              </w:rPr>
              <w:t>tā</w:t>
            </w:r>
            <w:r w:rsidR="006D7258" w:rsidRPr="0066749A">
              <w:rPr>
                <w:rStyle w:val="normaltextrun"/>
              </w:rPr>
              <w:t>j</w:t>
            </w:r>
            <w:r w:rsidR="00EB5DFF" w:rsidRPr="0066749A">
              <w:rPr>
                <w:rStyle w:val="normaltextrun"/>
              </w:rPr>
              <w:t>s</w:t>
            </w:r>
            <w:r w:rsidR="009042B3" w:rsidRPr="0066749A">
              <w:rPr>
                <w:rStyle w:val="normaltextrun"/>
              </w:rPr>
              <w:t>, saskaņā ar noteiktiem kritērijiem, kas minēti regulas Nr. 1907/2006 31. pantā.</w:t>
            </w:r>
          </w:p>
          <w:p w14:paraId="32EA9509" w14:textId="77777777" w:rsidR="00EB5DFF" w:rsidRPr="0066749A" w:rsidRDefault="00EB5DFF" w:rsidP="0016680D">
            <w:pPr>
              <w:jc w:val="both"/>
              <w:rPr>
                <w:rStyle w:val="normaltextrun"/>
              </w:rPr>
            </w:pPr>
          </w:p>
          <w:p w14:paraId="6B17A19B" w14:textId="10061EB0" w:rsidR="00E63FE0" w:rsidRPr="0066749A" w:rsidRDefault="006D7258" w:rsidP="0016680D">
            <w:pPr>
              <w:jc w:val="both"/>
              <w:rPr>
                <w:rStyle w:val="normaltextrun"/>
              </w:rPr>
            </w:pPr>
            <w:r w:rsidRPr="0066749A">
              <w:rPr>
                <w:rStyle w:val="normaltextrun"/>
              </w:rPr>
              <w:t xml:space="preserve">Regula Nr. 1907/2006 nenosaka prasību </w:t>
            </w:r>
            <w:r w:rsidRPr="0066749A">
              <w:rPr>
                <w:rStyle w:val="normaltextrun"/>
                <w:i/>
              </w:rPr>
              <w:t>izstrādājuma</w:t>
            </w:r>
            <w:r w:rsidRPr="0066749A">
              <w:rPr>
                <w:rStyle w:val="normaltextrun"/>
              </w:rPr>
              <w:t xml:space="preserve"> (</w:t>
            </w:r>
            <w:r w:rsidR="005030C5" w:rsidRPr="0066749A">
              <w:rPr>
                <w:rStyle w:val="normaltextrun"/>
              </w:rPr>
              <w:t xml:space="preserve">regulas Nr. 1907/2006 3. panta 3. punktā ietverta definīcija) </w:t>
            </w:r>
            <w:r w:rsidRPr="0066749A">
              <w:rPr>
                <w:rStyle w:val="normaltextrun"/>
              </w:rPr>
              <w:t xml:space="preserve">piegādātājam </w:t>
            </w:r>
            <w:r w:rsidR="005030C5" w:rsidRPr="0066749A">
              <w:rPr>
                <w:rStyle w:val="normaltextrun"/>
              </w:rPr>
              <w:t>iesniegt u</w:t>
            </w:r>
            <w:r w:rsidR="00EB5DFF" w:rsidRPr="0066749A">
              <w:rPr>
                <w:rStyle w:val="normaltextrun"/>
              </w:rPr>
              <w:t>n</w:t>
            </w:r>
            <w:r w:rsidR="005030C5" w:rsidRPr="0066749A">
              <w:rPr>
                <w:rStyle w:val="normaltextrun"/>
              </w:rPr>
              <w:t xml:space="preserve"> </w:t>
            </w:r>
            <w:r w:rsidRPr="0066749A">
              <w:rPr>
                <w:rStyle w:val="normaltextrun"/>
              </w:rPr>
              <w:t xml:space="preserve">aizpildīt drošības datu lapu. </w:t>
            </w:r>
          </w:p>
          <w:p w14:paraId="7AC51C83" w14:textId="77777777" w:rsidR="00EB5DFF" w:rsidRPr="0066749A" w:rsidRDefault="00EB5DFF" w:rsidP="0016680D">
            <w:pPr>
              <w:jc w:val="both"/>
              <w:rPr>
                <w:rStyle w:val="normaltextrun"/>
              </w:rPr>
            </w:pPr>
          </w:p>
          <w:p w14:paraId="35BB5DED" w14:textId="616E9931" w:rsidR="006D7258" w:rsidRPr="0066749A" w:rsidRDefault="00EB5DFF" w:rsidP="0016680D">
            <w:pPr>
              <w:jc w:val="both"/>
              <w:rPr>
                <w:rStyle w:val="normaltextrun"/>
              </w:rPr>
            </w:pPr>
            <w:r w:rsidRPr="0066749A">
              <w:rPr>
                <w:rStyle w:val="normaltextrun"/>
              </w:rPr>
              <w:t>Piegādātāja d</w:t>
            </w:r>
            <w:r w:rsidR="005030C5" w:rsidRPr="0066749A">
              <w:rPr>
                <w:rStyle w:val="normaltextrun"/>
              </w:rPr>
              <w:t>rošības datu lap</w:t>
            </w:r>
            <w:r w:rsidRPr="0066749A">
              <w:rPr>
                <w:rStyle w:val="normaltextrun"/>
              </w:rPr>
              <w:t>ā</w:t>
            </w:r>
            <w:r w:rsidR="005030C5" w:rsidRPr="0066749A">
              <w:rPr>
                <w:rStyle w:val="normaltextrun"/>
              </w:rPr>
              <w:t>s</w:t>
            </w:r>
            <w:r w:rsidRPr="0066749A">
              <w:rPr>
                <w:rStyle w:val="normaltextrun"/>
              </w:rPr>
              <w:t xml:space="preserve"> sniegto informāciju</w:t>
            </w:r>
            <w:r w:rsidR="005030C5" w:rsidRPr="0066749A">
              <w:rPr>
                <w:rStyle w:val="normaltextrun"/>
              </w:rPr>
              <w:t xml:space="preserve"> </w:t>
            </w:r>
            <w:r w:rsidRPr="0066749A">
              <w:rPr>
                <w:rStyle w:val="normaltextrun"/>
              </w:rPr>
              <w:t>izmanto tās saņēmējs, t.i.</w:t>
            </w:r>
            <w:r w:rsidR="00005B63">
              <w:rPr>
                <w:rStyle w:val="normaltextrun"/>
              </w:rPr>
              <w:t>,</w:t>
            </w:r>
            <w:r w:rsidRPr="0066749A">
              <w:rPr>
                <w:rStyle w:val="normaltextrun"/>
              </w:rPr>
              <w:t xml:space="preserve"> nākošais </w:t>
            </w:r>
            <w:r w:rsidR="001C3F79" w:rsidRPr="0066749A">
              <w:rPr>
                <w:rStyle w:val="normaltextrun"/>
              </w:rPr>
              <w:t xml:space="preserve">ķīmiskās vielas vai maisījuma </w:t>
            </w:r>
            <w:r w:rsidRPr="0066749A">
              <w:rPr>
                <w:rStyle w:val="normaltextrun"/>
              </w:rPr>
              <w:t xml:space="preserve">piegādes ķēdes dalībnieks. Vēršam uzmanību, ka </w:t>
            </w:r>
            <w:r w:rsidR="00D35773" w:rsidRPr="0066749A">
              <w:rPr>
                <w:rStyle w:val="normaltextrun"/>
              </w:rPr>
              <w:t xml:space="preserve">regula Nr. 1907/2006 nenosaka prasību </w:t>
            </w:r>
            <w:r w:rsidR="00B93C0B" w:rsidRPr="0066749A">
              <w:rPr>
                <w:rStyle w:val="normaltextrun"/>
              </w:rPr>
              <w:t>drošības datu lapas saņēmējam</w:t>
            </w:r>
            <w:r w:rsidR="00D35773" w:rsidRPr="0066749A">
              <w:rPr>
                <w:rStyle w:val="normaltextrun"/>
              </w:rPr>
              <w:t xml:space="preserve"> (t.i.</w:t>
            </w:r>
            <w:r w:rsidR="00005B63">
              <w:rPr>
                <w:rStyle w:val="normaltextrun"/>
              </w:rPr>
              <w:t>,</w:t>
            </w:r>
            <w:r w:rsidR="00D35773" w:rsidRPr="0066749A">
              <w:rPr>
                <w:rStyle w:val="normaltextrun"/>
              </w:rPr>
              <w:t xml:space="preserve"> nākošajiem piegādes ķēdes dalībniekiem)</w:t>
            </w:r>
            <w:r w:rsidR="00B93C0B" w:rsidRPr="0066749A">
              <w:rPr>
                <w:rStyle w:val="normaltextrun"/>
              </w:rPr>
              <w:t xml:space="preserve"> papildināt ar informāciju vielas vai maisījuma drošības datu lapu, k</w:t>
            </w:r>
            <w:r w:rsidR="00D35773" w:rsidRPr="0066749A">
              <w:rPr>
                <w:rStyle w:val="normaltextrun"/>
              </w:rPr>
              <w:t>uru</w:t>
            </w:r>
            <w:r w:rsidR="00B93C0B" w:rsidRPr="0066749A">
              <w:rPr>
                <w:rStyle w:val="normaltextrun"/>
              </w:rPr>
              <w:t xml:space="preserve"> tas saņēmis no piegādātāja. </w:t>
            </w:r>
          </w:p>
          <w:p w14:paraId="14020FED" w14:textId="510D37C0" w:rsidR="006D7258" w:rsidRPr="0066749A" w:rsidRDefault="0066749A" w:rsidP="00C20BDC">
            <w:pPr>
              <w:jc w:val="both"/>
              <w:rPr>
                <w:rStyle w:val="normaltextrun"/>
              </w:rPr>
            </w:pPr>
            <w:r>
              <w:rPr>
                <w:rStyle w:val="normaltextrun"/>
              </w:rPr>
              <w:t xml:space="preserve">Izvērtējot </w:t>
            </w:r>
            <w:r w:rsidRPr="0066749A">
              <w:t>20. panta pirmajā daļā minēto administratīvā pārkāpumu sastāvu "izdalīšanu" atsevišķās panta daļās</w:t>
            </w:r>
            <w:r w:rsidR="003F29D2">
              <w:t>, ņemts vērā, ka</w:t>
            </w:r>
            <w:r w:rsidR="00C20BDC">
              <w:t xml:space="preserve"> </w:t>
            </w:r>
            <w:r w:rsidR="00C20BDC" w:rsidRPr="0066749A">
              <w:rPr>
                <w:rStyle w:val="normaltextrun"/>
              </w:rPr>
              <w:t xml:space="preserve">prasības par </w:t>
            </w:r>
            <w:r w:rsidR="00C20BDC" w:rsidRPr="0066749A">
              <w:rPr>
                <w:rStyle w:val="normaltextrun"/>
              </w:rPr>
              <w:lastRenderedPageBreak/>
              <w:t>drošības datu lapām</w:t>
            </w:r>
            <w:r w:rsidR="00C20BDC">
              <w:rPr>
                <w:rStyle w:val="normaltextrun"/>
              </w:rPr>
              <w:t xml:space="preserve"> ir </w:t>
            </w:r>
            <w:r w:rsidR="00C20BDC" w:rsidRPr="0066749A">
              <w:rPr>
                <w:rStyle w:val="normaltextrun"/>
              </w:rPr>
              <w:t>noteikt</w:t>
            </w:r>
            <w:r w:rsidR="00C20BDC">
              <w:rPr>
                <w:rStyle w:val="normaltextrun"/>
              </w:rPr>
              <w:t xml:space="preserve">as </w:t>
            </w:r>
            <w:r w:rsidR="00632495" w:rsidRPr="0066749A">
              <w:rPr>
                <w:rStyle w:val="normaltextrun"/>
              </w:rPr>
              <w:t>regula</w:t>
            </w:r>
            <w:r w:rsidR="003F29D2">
              <w:rPr>
                <w:rStyle w:val="normaltextrun"/>
              </w:rPr>
              <w:t>s</w:t>
            </w:r>
            <w:r w:rsidR="00632495" w:rsidRPr="0066749A">
              <w:rPr>
                <w:rStyle w:val="normaltextrun"/>
              </w:rPr>
              <w:t xml:space="preserve"> Nr. 1907/2006 31. pant</w:t>
            </w:r>
            <w:r w:rsidR="00C20BDC">
              <w:rPr>
                <w:rStyle w:val="normaltextrun"/>
              </w:rPr>
              <w:t>a</w:t>
            </w:r>
            <w:r w:rsidR="00632495" w:rsidRPr="0066749A">
              <w:rPr>
                <w:rStyle w:val="normaltextrun"/>
              </w:rPr>
              <w:t xml:space="preserve"> </w:t>
            </w:r>
            <w:r w:rsidR="00C20BDC">
              <w:rPr>
                <w:rStyle w:val="normaltextrun"/>
              </w:rPr>
              <w:t>atsevišķos punktos. L</w:t>
            </w:r>
            <w:r w:rsidR="00632495" w:rsidRPr="0066749A">
              <w:rPr>
                <w:rStyle w:val="normaltextrun"/>
              </w:rPr>
              <w:t>ai veicinātu normatīva akta</w:t>
            </w:r>
            <w:r w:rsidR="00297AF9" w:rsidRPr="0066749A">
              <w:rPr>
                <w:rStyle w:val="normaltextrun"/>
              </w:rPr>
              <w:t xml:space="preserve"> prasību</w:t>
            </w:r>
            <w:r w:rsidR="00632495" w:rsidRPr="0066749A">
              <w:rPr>
                <w:rStyle w:val="normaltextrun"/>
              </w:rPr>
              <w:t xml:space="preserve"> </w:t>
            </w:r>
            <w:r w:rsidR="00297AF9" w:rsidRPr="0066749A">
              <w:rPr>
                <w:rStyle w:val="normaltextrun"/>
              </w:rPr>
              <w:t>vieglāku uztveramību</w:t>
            </w:r>
            <w:r w:rsidR="00632495" w:rsidRPr="0066749A">
              <w:rPr>
                <w:rStyle w:val="normaltextrun"/>
              </w:rPr>
              <w:t xml:space="preserve">, </w:t>
            </w:r>
            <w:r w:rsidR="00632495" w:rsidRPr="0066749A">
              <w:t>88.</w:t>
            </w:r>
            <w:r w:rsidR="00632495" w:rsidRPr="0066749A">
              <w:rPr>
                <w:vertAlign w:val="superscript"/>
              </w:rPr>
              <w:t>8</w:t>
            </w:r>
            <w:r w:rsidR="00632495" w:rsidRPr="0066749A">
              <w:t xml:space="preserve"> </w:t>
            </w:r>
            <w:r w:rsidR="00464625" w:rsidRPr="0066749A">
              <w:t> p</w:t>
            </w:r>
            <w:r w:rsidR="00632495" w:rsidRPr="0066749A">
              <w:t>anta ceturtā un piektā daļ</w:t>
            </w:r>
            <w:r w:rsidR="00C20BDC">
              <w:t>a</w:t>
            </w:r>
            <w:r w:rsidRPr="0066749A">
              <w:t xml:space="preserve"> </w:t>
            </w:r>
            <w:proofErr w:type="gramStart"/>
            <w:r w:rsidR="00C20BDC">
              <w:t>ir apvienotas</w:t>
            </w:r>
            <w:proofErr w:type="gramEnd"/>
            <w:r w:rsidR="00C20BDC">
              <w:t xml:space="preserve">, jo abas attiecās uz </w:t>
            </w:r>
            <w:r w:rsidR="00632495" w:rsidRPr="0066749A">
              <w:t>administratīvā pārkāpuma sastāvi</w:t>
            </w:r>
            <w:r w:rsidR="00C20BDC">
              <w:t>em par drošības datu lapām</w:t>
            </w:r>
            <w:r w:rsidR="00632495" w:rsidRPr="0066749A">
              <w:t xml:space="preserve">. </w:t>
            </w:r>
          </w:p>
        </w:tc>
        <w:tc>
          <w:tcPr>
            <w:tcW w:w="3431" w:type="dxa"/>
          </w:tcPr>
          <w:p w14:paraId="0F226B44" w14:textId="77777777" w:rsidR="0066749A" w:rsidRPr="0066749A" w:rsidRDefault="0066749A" w:rsidP="0066749A">
            <w:pPr>
              <w:jc w:val="both"/>
              <w:rPr>
                <w:b/>
                <w:szCs w:val="28"/>
              </w:rPr>
            </w:pPr>
            <w:r w:rsidRPr="0066749A">
              <w:rPr>
                <w:b/>
                <w:szCs w:val="28"/>
              </w:rPr>
              <w:lastRenderedPageBreak/>
              <w:t>“20. pants. Administratīvie pārkāpumi</w:t>
            </w:r>
            <w:r w:rsidRPr="0066749A" w:rsidDel="009A1188">
              <w:rPr>
                <w:b/>
                <w:szCs w:val="28"/>
              </w:rPr>
              <w:t xml:space="preserve"> </w:t>
            </w:r>
            <w:r w:rsidRPr="0066749A">
              <w:rPr>
                <w:b/>
                <w:szCs w:val="28"/>
              </w:rPr>
              <w:t>ķīmisko vielu reģistrēšanas, ierobežošanas un licencēšanas jomā</w:t>
            </w:r>
          </w:p>
          <w:p w14:paraId="3679C1E8" w14:textId="77777777" w:rsidR="0066749A" w:rsidRPr="0066749A" w:rsidRDefault="0066749A" w:rsidP="0066749A">
            <w:pPr>
              <w:spacing w:before="120"/>
              <w:jc w:val="both"/>
              <w:rPr>
                <w:szCs w:val="28"/>
              </w:rPr>
            </w:pPr>
            <w:r w:rsidRPr="0066749A">
              <w:rPr>
                <w:szCs w:val="28"/>
              </w:rPr>
              <w:t xml:space="preserve">(1) Par piegādātāja pienākuma nodrošināt ķīmiskās vielas vai maisījuma saņēmēju ar drošības datu lapu nepildīšanu vai par drošības datu lapas </w:t>
            </w:r>
            <w:r w:rsidRPr="0066749A">
              <w:rPr>
                <w:szCs w:val="28"/>
              </w:rPr>
              <w:lastRenderedPageBreak/>
              <w:t>neaizpildīšanu par bīstamām ķīmiskajām vielām vai bīstamiem maisījumiem, par nepatiesas vai nepilnīgas informācijas norādīšanu drošības datu lapā —</w:t>
            </w:r>
          </w:p>
          <w:p w14:paraId="2E29C1A7" w14:textId="0474F542" w:rsidR="007F5790" w:rsidRPr="0066749A" w:rsidRDefault="0066749A" w:rsidP="00846E46">
            <w:pPr>
              <w:spacing w:before="120"/>
              <w:jc w:val="both"/>
              <w:rPr>
                <w:rFonts w:eastAsia="Calibri"/>
                <w:lang w:eastAsia="en-US"/>
              </w:rPr>
            </w:pPr>
            <w:r w:rsidRPr="0066749A">
              <w:rPr>
                <w:szCs w:val="28"/>
              </w:rPr>
              <w:t>piemēro brīdinājumu vai naudas sodu fiziskajām personām no piecdesmit sešām līdz simt četrdesmit naudas soda vienībām, bet juridiskajām personām – no simt četrdesmit līdz divsimt astoņdesm</w:t>
            </w:r>
            <w:r w:rsidR="00846E46">
              <w:rPr>
                <w:szCs w:val="28"/>
              </w:rPr>
              <w:t>it naudas soda vienībām.”</w:t>
            </w:r>
          </w:p>
        </w:tc>
      </w:tr>
      <w:tr w:rsidR="007F5790" w:rsidRPr="00371588" w14:paraId="225A94C8" w14:textId="77777777" w:rsidTr="65362092">
        <w:tc>
          <w:tcPr>
            <w:tcW w:w="846" w:type="dxa"/>
          </w:tcPr>
          <w:p w14:paraId="26DE679E" w14:textId="2873A3AE" w:rsidR="007F5790" w:rsidRPr="008E660F" w:rsidRDefault="0012349D" w:rsidP="0016680D">
            <w:pPr>
              <w:pStyle w:val="naisf"/>
              <w:spacing w:before="0" w:after="0"/>
              <w:ind w:firstLine="0"/>
              <w:jc w:val="center"/>
            </w:pPr>
            <w:r w:rsidRPr="008E660F">
              <w:lastRenderedPageBreak/>
              <w:t>3.</w:t>
            </w:r>
          </w:p>
        </w:tc>
        <w:tc>
          <w:tcPr>
            <w:tcW w:w="2410" w:type="dxa"/>
          </w:tcPr>
          <w:p w14:paraId="0ECD8ED7" w14:textId="65F2A11A" w:rsidR="007F5790" w:rsidRPr="00747D95" w:rsidRDefault="002C2D51" w:rsidP="009475FB">
            <w:pPr>
              <w:jc w:val="both"/>
            </w:pPr>
            <w:r w:rsidRPr="00747D95">
              <w:t xml:space="preserve">Likumprojekta </w:t>
            </w:r>
            <w:r w:rsidR="009475FB" w:rsidRPr="00747D95">
              <w:t>4</w:t>
            </w:r>
            <w:r w:rsidRPr="00747D95">
              <w:t>. pantā</w:t>
            </w:r>
            <w:r w:rsidR="009475FB" w:rsidRPr="00747D95">
              <w:t xml:space="preserve"> (iepriekš 3. pantā)</w:t>
            </w:r>
            <w:r w:rsidRPr="00747D95">
              <w:t xml:space="preserve"> paredzētā likuma 23. panta ceturtā daļa</w:t>
            </w:r>
            <w:r w:rsidR="00C20BDC" w:rsidRPr="00747D95">
              <w:t>:</w:t>
            </w:r>
          </w:p>
          <w:p w14:paraId="1744D5A2" w14:textId="78A3265E" w:rsidR="00C20BDC" w:rsidRPr="00747D95" w:rsidRDefault="00C20BDC" w:rsidP="00747D95">
            <w:pPr>
              <w:jc w:val="both"/>
              <w:rPr>
                <w:b/>
                <w:color w:val="FF0000"/>
              </w:rPr>
            </w:pPr>
            <w:r w:rsidRPr="00747D95">
              <w:rPr>
                <w:b/>
              </w:rPr>
              <w:t>“23. pants.</w:t>
            </w:r>
            <w:r w:rsidRPr="00747D95">
              <w:t xml:space="preserve"> </w:t>
            </w:r>
            <w:r w:rsidRPr="00747D95">
              <w:rPr>
                <w:b/>
              </w:rPr>
              <w:t xml:space="preserve">Administratīvie pārkāpumi ozona slāni noārdošo vielu un </w:t>
            </w:r>
            <w:proofErr w:type="spellStart"/>
            <w:r w:rsidRPr="00747D95">
              <w:rPr>
                <w:b/>
              </w:rPr>
              <w:t>fluorēto</w:t>
            </w:r>
            <w:proofErr w:type="spellEnd"/>
            <w:r w:rsidRPr="00747D95">
              <w:rPr>
                <w:b/>
              </w:rPr>
              <w:t xml:space="preserve"> siltumnīcefekta gāzu jomā</w:t>
            </w:r>
          </w:p>
          <w:p w14:paraId="46C45F73" w14:textId="2603DEA8" w:rsidR="00C20BDC" w:rsidRPr="00747D95" w:rsidRDefault="00C20BDC" w:rsidP="00747D95">
            <w:pPr>
              <w:spacing w:before="120"/>
              <w:jc w:val="both"/>
            </w:pPr>
            <w:r w:rsidRPr="00747D95">
              <w:t xml:space="preserve">(4) Par ozona slāni noārdošo vielu vai </w:t>
            </w:r>
            <w:proofErr w:type="spellStart"/>
            <w:r w:rsidRPr="00747D95">
              <w:t>fluorēto</w:t>
            </w:r>
            <w:proofErr w:type="spellEnd"/>
            <w:r w:rsidRPr="00747D95">
              <w:t xml:space="preserve"> siltumnīcefekta gāzu apzinātu izlaišanu atmosfērā, ja izlaišana nav tehniski vajadzīga paredzētajam lietojumam, maksimālā atļautā noplūžu apjoma pārsniegšanu, noplūžu pārbaužu vai noplūžu konstatēšanas sistēmu darbības nenodrošināšanu, normatīvajos aktos noteiktā noplūžu pārbaužu biežuma nenodrošināšanu, rekuperācijas nenodrošināšanu normatīvajos aktos noteiktajos gadījumos –</w:t>
            </w:r>
          </w:p>
          <w:p w14:paraId="3D39E6EC" w14:textId="6482F508" w:rsidR="001F7B5C" w:rsidRPr="00747D95" w:rsidRDefault="00C20BDC" w:rsidP="00C20BDC">
            <w:pPr>
              <w:jc w:val="both"/>
            </w:pPr>
            <w:r w:rsidRPr="00747D95">
              <w:t>piemēro naudas sodu fiziskajām personām līdz divsimt astoņdesmit naudas soda vienībām, bet juridiskajām personām – līdz divtūkstoš astoņsimt naudas soda vienībām.”</w:t>
            </w:r>
          </w:p>
        </w:tc>
        <w:tc>
          <w:tcPr>
            <w:tcW w:w="4110" w:type="dxa"/>
          </w:tcPr>
          <w:p w14:paraId="7D5C0BC6" w14:textId="77777777" w:rsidR="002C2D51" w:rsidRDefault="002C2D51" w:rsidP="00760E6F">
            <w:pPr>
              <w:jc w:val="both"/>
              <w:rPr>
                <w:b/>
                <w:bCs/>
              </w:rPr>
            </w:pPr>
            <w:r w:rsidRPr="00747D95">
              <w:rPr>
                <w:b/>
                <w:bCs/>
              </w:rPr>
              <w:t>Tieslietu ministrijas 2019. gada 25. septembra atzinums Nr. 1-9.1/990</w:t>
            </w:r>
          </w:p>
          <w:p w14:paraId="20D15858" w14:textId="77777777" w:rsidR="00005B63" w:rsidRPr="00747D95" w:rsidRDefault="00005B63" w:rsidP="002C2D51">
            <w:pPr>
              <w:rPr>
                <w:b/>
                <w:bCs/>
              </w:rPr>
            </w:pPr>
          </w:p>
          <w:p w14:paraId="0A7F1563" w14:textId="4F3C9BEC" w:rsidR="002C2D51" w:rsidRPr="00747D95" w:rsidRDefault="002C2D51" w:rsidP="00005B63">
            <w:pPr>
              <w:jc w:val="both"/>
            </w:pPr>
            <w:r w:rsidRPr="00747D95">
              <w:t xml:space="preserve">3. Projekta 3. pantā paredzētā likuma 23. panta ceturtā daļa noteic administratīvo atbildību par </w:t>
            </w:r>
            <w:r w:rsidRPr="00747D95">
              <w:rPr>
                <w:i/>
                <w:iCs/>
              </w:rPr>
              <w:t>apzinātu</w:t>
            </w:r>
            <w:r w:rsidRPr="00747D95">
              <w:t xml:space="preserve"> ozona slāni noārdošo vielu vai </w:t>
            </w:r>
            <w:proofErr w:type="spellStart"/>
            <w:r w:rsidRPr="00747D95">
              <w:t>fluorēto</w:t>
            </w:r>
            <w:proofErr w:type="spellEnd"/>
            <w:r w:rsidRPr="00747D95">
              <w:t xml:space="preserve"> siltumnīcefekta gāzu izlaišanu atmosfērā, ja tā nav tehniski vajadzīga paredzētajam lietojumam. </w:t>
            </w:r>
          </w:p>
          <w:p w14:paraId="715CD35C" w14:textId="3B04EFC5" w:rsidR="007F5790" w:rsidRPr="00747D95" w:rsidRDefault="002C2D51" w:rsidP="00005B63">
            <w:pPr>
              <w:jc w:val="both"/>
            </w:pPr>
            <w:r w:rsidRPr="00747D95">
              <w:t xml:space="preserve">Vēršam uzmanību, ka saskaņā ar Administratīvās atbildības likuma 5. panta pirmo daļu administratīvais pārkāpums ir personas prettiesiska, vainojama rīcība (darbība vai bezdarbība), par kuru likumā vai pašvaldību saistošajos noteikumos paredzēta administratīvā atbildība. Tādējādi Administratīvās atbildības likumā vainas koncepts ir aizstāts ar </w:t>
            </w:r>
            <w:proofErr w:type="spellStart"/>
            <w:r w:rsidRPr="00747D95">
              <w:t>vainojamības</w:t>
            </w:r>
            <w:proofErr w:type="spellEnd"/>
            <w:r w:rsidRPr="00747D95">
              <w:t xml:space="preserve"> konceptu, ievērojot, ka vaina (kā psihiskā attieksme pret pārkāpumu) nav ietverama administratīvā pārkāpuma jēdzienā, bet atzīstot, ka var būt citi apstākļi, kuru dēļ persona nav sodāma (nav vainojama) par pārkāpumu. </w:t>
            </w:r>
            <w:proofErr w:type="spellStart"/>
            <w:r w:rsidRPr="00747D95">
              <w:t>Vainojamība</w:t>
            </w:r>
            <w:proofErr w:type="spellEnd"/>
            <w:r w:rsidRPr="00747D95">
              <w:t xml:space="preserve"> ir situācija, kurā administratīvo pārkāpumu izdarījusī persona nevar atsaukties uz juridiski nozīmīgiem apstākļiem, kuru esība būtu pamats atbrīvot personu no atbildības </w:t>
            </w:r>
            <w:proofErr w:type="gramStart"/>
            <w:r w:rsidRPr="00747D95">
              <w:rPr>
                <w:i/>
              </w:rPr>
              <w:t>(</w:t>
            </w:r>
            <w:proofErr w:type="spellStart"/>
            <w:proofErr w:type="gramEnd"/>
            <w:r w:rsidRPr="00747D95">
              <w:rPr>
                <w:i/>
              </w:rPr>
              <w:t>Danovskis</w:t>
            </w:r>
            <w:proofErr w:type="spellEnd"/>
            <w:r w:rsidRPr="00747D95">
              <w:rPr>
                <w:i/>
              </w:rPr>
              <w:t xml:space="preserve"> E. Juridisko personu administratīvā atbildība Latvijā: problēmas un pilnveidošanas iespējas. </w:t>
            </w:r>
            <w:proofErr w:type="spellStart"/>
            <w:r w:rsidRPr="00747D95">
              <w:rPr>
                <w:i/>
              </w:rPr>
              <w:t>Grām</w:t>
            </w:r>
            <w:proofErr w:type="spellEnd"/>
            <w:r w:rsidRPr="00747D95">
              <w:rPr>
                <w:i/>
              </w:rPr>
              <w:t xml:space="preserve">.: Juridisko personu publiski tiesiskā atbildība: aktualitātes, problēmas un iespējamie risinājumi. Rīga: LU Akadēmiskais apgāds, 2018, 159.-162. lpp.). </w:t>
            </w:r>
            <w:r w:rsidRPr="00747D95">
              <w:t xml:space="preserve">Savukārt projektā izmantotais vārds "apzināti" norāda uz nodomu kā vainas formu </w:t>
            </w:r>
            <w:proofErr w:type="gramStart"/>
            <w:r w:rsidRPr="00747D95">
              <w:rPr>
                <w:i/>
              </w:rPr>
              <w:t>(</w:t>
            </w:r>
            <w:proofErr w:type="gramEnd"/>
            <w:r w:rsidRPr="00747D95">
              <w:rPr>
                <w:i/>
              </w:rPr>
              <w:t>sal. Rozenbergs J. Vainas institūts krimināltiesībās un tā nozīme noziedzīgu nodarījumu kvalifikācijā. Promocijas darbs. Rīga, 2012, 122. lpp.).</w:t>
            </w:r>
            <w:r w:rsidRPr="00747D95">
              <w:t xml:space="preserve"> Tādējādi paredzētais regulējums neatbilst Administratīvās atbildības likumam. Ievērojot minēto, lūdzam precizēt projekta 3. pantā paredzēto likuma 23. panta ceturto daļu, </w:t>
            </w:r>
            <w:proofErr w:type="gramStart"/>
            <w:r w:rsidRPr="00747D95">
              <w:t>svītrojot vārdu</w:t>
            </w:r>
            <w:proofErr w:type="gramEnd"/>
            <w:r w:rsidRPr="00747D95">
              <w:t xml:space="preserve"> "apzināti".</w:t>
            </w:r>
          </w:p>
        </w:tc>
        <w:tc>
          <w:tcPr>
            <w:tcW w:w="3799" w:type="dxa"/>
          </w:tcPr>
          <w:p w14:paraId="11255248" w14:textId="30711A14" w:rsidR="00D35773" w:rsidRPr="00747D95" w:rsidRDefault="00CF08F6" w:rsidP="0016680D">
            <w:pPr>
              <w:jc w:val="both"/>
              <w:rPr>
                <w:rStyle w:val="normaltextrun"/>
              </w:rPr>
            </w:pPr>
            <w:r w:rsidRPr="00747D95">
              <w:rPr>
                <w:rStyle w:val="normaltextrun"/>
                <w:b/>
              </w:rPr>
              <w:t>Iebildums ņemts vērā.</w:t>
            </w:r>
            <w:r w:rsidR="00D35773" w:rsidRPr="00747D95">
              <w:rPr>
                <w:rStyle w:val="normaltextrun"/>
              </w:rPr>
              <w:t xml:space="preserve"> </w:t>
            </w:r>
          </w:p>
        </w:tc>
        <w:tc>
          <w:tcPr>
            <w:tcW w:w="3431" w:type="dxa"/>
          </w:tcPr>
          <w:p w14:paraId="79E74F26" w14:textId="0567BBA1" w:rsidR="00CA3D07" w:rsidRPr="008E660F" w:rsidRDefault="00747D95" w:rsidP="00CA3D07">
            <w:pPr>
              <w:jc w:val="both"/>
              <w:rPr>
                <w:b/>
                <w:color w:val="FF0000"/>
              </w:rPr>
            </w:pPr>
            <w:r w:rsidRPr="008E660F">
              <w:rPr>
                <w:b/>
              </w:rPr>
              <w:t xml:space="preserve"> </w:t>
            </w:r>
            <w:r w:rsidR="00CA3D07" w:rsidRPr="008E660F">
              <w:rPr>
                <w:b/>
              </w:rPr>
              <w:t>“23. pants.</w:t>
            </w:r>
            <w:r w:rsidR="00CA3D07" w:rsidRPr="008E660F">
              <w:t xml:space="preserve"> </w:t>
            </w:r>
            <w:r w:rsidR="00CA3D07" w:rsidRPr="008E660F">
              <w:rPr>
                <w:b/>
              </w:rPr>
              <w:t xml:space="preserve">Administratīvie pārkāpumi ozona slāni noārdošo vielu un </w:t>
            </w:r>
            <w:proofErr w:type="spellStart"/>
            <w:r w:rsidR="00CA3D07" w:rsidRPr="008E660F">
              <w:rPr>
                <w:b/>
              </w:rPr>
              <w:t>fluorēto</w:t>
            </w:r>
            <w:proofErr w:type="spellEnd"/>
            <w:r w:rsidR="00CA3D07" w:rsidRPr="008E660F">
              <w:rPr>
                <w:b/>
              </w:rPr>
              <w:t xml:space="preserve"> siltumnīcefekta gāzu jomā</w:t>
            </w:r>
          </w:p>
          <w:p w14:paraId="0F28E59D" w14:textId="1722E6C6" w:rsidR="008E660F" w:rsidRPr="008E660F" w:rsidRDefault="008E660F" w:rsidP="008E660F">
            <w:pPr>
              <w:spacing w:before="120"/>
              <w:jc w:val="both"/>
              <w:rPr>
                <w:color w:val="000000" w:themeColor="text1"/>
              </w:rPr>
            </w:pPr>
            <w:r w:rsidRPr="008E660F">
              <w:rPr>
                <w:color w:val="000000" w:themeColor="text1"/>
              </w:rPr>
              <w:t xml:space="preserve">(4) Par ozona slāni noārdošo vielu vai </w:t>
            </w:r>
            <w:proofErr w:type="spellStart"/>
            <w:r w:rsidRPr="008E660F">
              <w:rPr>
                <w:color w:val="000000" w:themeColor="text1"/>
              </w:rPr>
              <w:t>fluorēto</w:t>
            </w:r>
            <w:proofErr w:type="spellEnd"/>
            <w:r w:rsidRPr="008E660F">
              <w:rPr>
                <w:color w:val="000000" w:themeColor="text1"/>
              </w:rPr>
              <w:t xml:space="preserve"> siltumnīcefekta gāzu izlaišanu atmosfērā, ja izlaišana nav tehniski vajadzīga paredzētajam lietojumam, maksimālā atļautā noplūžu apjoma pārsniegšanu, noplūžu pārbaužu vai noplūžu konstatēšanas sistēmu darbības nenodrošināšanu, normatīvajos aktos noteiktā noplūžu pārbaužu biežuma nenodrošināšanu, rekuperācijas nenodrošināšanu normatīvajos aktos noteiktajos gadījumos vai prasību neievērošanu attiecībā uz </w:t>
            </w:r>
            <w:proofErr w:type="spellStart"/>
            <w:r w:rsidRPr="008E660F">
              <w:rPr>
                <w:color w:val="000000" w:themeColor="text1"/>
              </w:rPr>
              <w:t>fluorēto</w:t>
            </w:r>
            <w:proofErr w:type="spellEnd"/>
            <w:r w:rsidRPr="008E660F">
              <w:rPr>
                <w:color w:val="000000" w:themeColor="text1"/>
              </w:rPr>
              <w:t xml:space="preserve"> siltumnīcefekta gāzu iznīcināšanu –</w:t>
            </w:r>
          </w:p>
          <w:p w14:paraId="7D031FE0" w14:textId="49EFFF53" w:rsidR="00CA3D07" w:rsidRPr="008E660F" w:rsidRDefault="008E660F" w:rsidP="008E660F">
            <w:pPr>
              <w:spacing w:before="120"/>
              <w:ind w:firstLine="709"/>
              <w:jc w:val="both"/>
              <w:rPr>
                <w:color w:val="000000" w:themeColor="text1"/>
              </w:rPr>
            </w:pPr>
            <w:r w:rsidRPr="008E660F">
              <w:rPr>
                <w:color w:val="000000" w:themeColor="text1"/>
              </w:rPr>
              <w:t>piemēro naudas sodu fiziskajām personām līdz septiņdesmit naudas soda vienībām, bet juridiskajām personām – līdz simt četrdesmit naudas soda vienībām.</w:t>
            </w:r>
            <w:r w:rsidR="00CA3D07" w:rsidRPr="008E660F">
              <w:rPr>
                <w:color w:val="000000" w:themeColor="text1"/>
              </w:rPr>
              <w:t>”</w:t>
            </w:r>
          </w:p>
          <w:p w14:paraId="5FD2502C" w14:textId="5F08D3B3" w:rsidR="00CA3D07" w:rsidRPr="008E660F" w:rsidRDefault="00CA3D07" w:rsidP="009475FB">
            <w:pPr>
              <w:pStyle w:val="BodyTextIndent"/>
              <w:ind w:right="57" w:firstLine="0"/>
              <w:rPr>
                <w:rFonts w:eastAsia="Calibri"/>
                <w:szCs w:val="24"/>
                <w:lang w:eastAsia="en-US"/>
              </w:rPr>
            </w:pPr>
          </w:p>
        </w:tc>
      </w:tr>
      <w:tr w:rsidR="00680FFE" w:rsidRPr="00371588" w14:paraId="4A460CEE" w14:textId="77777777" w:rsidTr="65362092">
        <w:tc>
          <w:tcPr>
            <w:tcW w:w="846" w:type="dxa"/>
          </w:tcPr>
          <w:p w14:paraId="080A8C9C" w14:textId="1EBD30AA" w:rsidR="00680FFE" w:rsidRPr="008E660F" w:rsidRDefault="0012349D" w:rsidP="0016680D">
            <w:pPr>
              <w:pStyle w:val="naisf"/>
              <w:spacing w:before="0" w:after="0"/>
              <w:ind w:firstLine="0"/>
              <w:jc w:val="center"/>
            </w:pPr>
            <w:r w:rsidRPr="008E660F">
              <w:t>4.</w:t>
            </w:r>
          </w:p>
        </w:tc>
        <w:tc>
          <w:tcPr>
            <w:tcW w:w="2410" w:type="dxa"/>
          </w:tcPr>
          <w:p w14:paraId="17C0E8E2" w14:textId="396C48A3" w:rsidR="00680FFE" w:rsidRPr="00DE2BE7" w:rsidRDefault="00680FFE" w:rsidP="0016680D">
            <w:pPr>
              <w:jc w:val="both"/>
              <w:rPr>
                <w:color w:val="A6A6A6" w:themeColor="background1" w:themeShade="A6"/>
              </w:rPr>
            </w:pPr>
            <w:r w:rsidRPr="00DE2BE7">
              <w:t>Vispārīgs iebildums</w:t>
            </w:r>
          </w:p>
        </w:tc>
        <w:tc>
          <w:tcPr>
            <w:tcW w:w="4110" w:type="dxa"/>
          </w:tcPr>
          <w:p w14:paraId="5D5E0717" w14:textId="77777777" w:rsidR="00680FFE" w:rsidRDefault="00680FFE" w:rsidP="007C711E">
            <w:pPr>
              <w:jc w:val="both"/>
              <w:rPr>
                <w:b/>
                <w:bCs/>
              </w:rPr>
            </w:pPr>
            <w:r w:rsidRPr="00DE2BE7">
              <w:rPr>
                <w:b/>
                <w:bCs/>
              </w:rPr>
              <w:t>Tieslietu ministrijas 2019. gada 25. septembra atzinums Nr. 1-9.1/990</w:t>
            </w:r>
          </w:p>
          <w:p w14:paraId="1A36F479" w14:textId="77777777" w:rsidR="00005B63" w:rsidRPr="00DE2BE7" w:rsidRDefault="00005B63" w:rsidP="00CE3F17">
            <w:pPr>
              <w:rPr>
                <w:b/>
                <w:bCs/>
              </w:rPr>
            </w:pPr>
          </w:p>
          <w:p w14:paraId="551D1D6F" w14:textId="77777777" w:rsidR="00680FFE" w:rsidRPr="00DE2BE7" w:rsidRDefault="00680FFE" w:rsidP="00005B63">
            <w:pPr>
              <w:jc w:val="both"/>
            </w:pPr>
            <w:r w:rsidRPr="00DE2BE7">
              <w:t>4. Lūdzam precizēt projekta sākotnējās (</w:t>
            </w:r>
            <w:proofErr w:type="spellStart"/>
            <w:r w:rsidRPr="00DE2BE7">
              <w:rPr>
                <w:i/>
                <w:iCs/>
              </w:rPr>
              <w:t>ex</w:t>
            </w:r>
            <w:proofErr w:type="spellEnd"/>
            <w:r w:rsidRPr="00DE2BE7">
              <w:rPr>
                <w:i/>
                <w:iCs/>
              </w:rPr>
              <w:t xml:space="preserve"> – </w:t>
            </w:r>
            <w:proofErr w:type="spellStart"/>
            <w:r w:rsidRPr="00DE2BE7">
              <w:rPr>
                <w:i/>
                <w:iCs/>
              </w:rPr>
              <w:t>ante</w:t>
            </w:r>
            <w:proofErr w:type="spellEnd"/>
            <w:r w:rsidRPr="00DE2BE7">
              <w:rPr>
                <w:i/>
                <w:iCs/>
              </w:rPr>
              <w:t xml:space="preserve">) </w:t>
            </w:r>
            <w:r w:rsidRPr="00DE2BE7">
              <w:t xml:space="preserve">ietekmes novērtējuma ziņojuma (turpmāk – anotācija) I sadaļas 2. punktu. </w:t>
            </w:r>
          </w:p>
          <w:p w14:paraId="78D08084" w14:textId="77777777" w:rsidR="003B04B9" w:rsidRDefault="003B04B9" w:rsidP="00CE3F17"/>
          <w:p w14:paraId="53407BA9" w14:textId="77777777" w:rsidR="00680FFE" w:rsidRPr="00DE2BE7" w:rsidRDefault="00680FFE" w:rsidP="00005B63">
            <w:pPr>
              <w:jc w:val="both"/>
            </w:pPr>
            <w:r w:rsidRPr="00DE2BE7">
              <w:t>4.1. Saskaņā ar Ministru kabineta 2009. gada 15. decembra instrukcijas Nr. 19 "Tiesību akta projekta sākotnējās ietekmes izvērtēšanas kārtība" (turpmāk – instrukcija)14.3. apakšpunktu šajā punktā norāda informāciju par projekta izdošanas mērķi (sasaistot to ar informāciju par esošo situāciju) un aprakstošu informāciju par projekta būtību (necitējot projektā ietvertās normas). Anotācijā nepieciešams skaidrot katru no projektā iekļautajiem administratīvā pārkāpuma sastāviem un par tiem paredzētos sodus.</w:t>
            </w:r>
          </w:p>
          <w:p w14:paraId="71DF4994" w14:textId="77777777" w:rsidR="003B04B9" w:rsidRDefault="003B04B9" w:rsidP="00005B63">
            <w:pPr>
              <w:jc w:val="both"/>
            </w:pPr>
          </w:p>
          <w:p w14:paraId="6BD4E466" w14:textId="77777777" w:rsidR="00680FFE" w:rsidRPr="00DE2BE7" w:rsidRDefault="00680FFE" w:rsidP="00005B63">
            <w:pPr>
              <w:jc w:val="both"/>
            </w:pPr>
            <w:r w:rsidRPr="00DE2BE7">
              <w:t xml:space="preserve">4.2. Projekta 3. pantā ir paredzēts vairākkārt celt naudas sodu apmēru par noteiktiem administratīvajiem pārkāpumiem (piemēram, projekta 2. pantā paredzētā likuma 19. panta piektā daļa, 20. panta astotā daļa, 22. panta trešā daļa, 23. panta ceturtā, piektā un sestā daļa). Ievērojot minēto, lūdzam papildināt anotācijā ietverto skaidrojumu par nepieciešamību palielināt naudas soda apmēru. Proti, būtu nepieciešams pierādījumos balstīts pamatojums (piemēram, statistikas dati), ka pašreizējais soda apmērs nav efektīvs, atturošs vai samērīgs. Sodu sistēmas pārskatīšanai nepieciešams īpašs pamatojums </w:t>
            </w:r>
            <w:proofErr w:type="gramStart"/>
            <w:r w:rsidRPr="00DE2BE7">
              <w:rPr>
                <w:i/>
                <w:iCs/>
              </w:rPr>
              <w:t>(</w:t>
            </w:r>
            <w:proofErr w:type="gramEnd"/>
            <w:r w:rsidRPr="00DE2BE7">
              <w:rPr>
                <w:i/>
                <w:iCs/>
              </w:rPr>
              <w:t>Latvijas Republikas 13. Saeimas Juridiskās komisijas Krimināltiesību politikas apakškomisijas 2019. gada 12. februāra sēdes protokols Nr. 6).</w:t>
            </w:r>
          </w:p>
          <w:p w14:paraId="1E1695E6" w14:textId="77777777" w:rsidR="003B04B9" w:rsidRDefault="003B04B9" w:rsidP="00005B63">
            <w:pPr>
              <w:jc w:val="both"/>
            </w:pPr>
          </w:p>
          <w:p w14:paraId="614B0D5F" w14:textId="08151A75" w:rsidR="00680FFE" w:rsidRPr="00DE2BE7" w:rsidRDefault="00680FFE" w:rsidP="00005B63">
            <w:pPr>
              <w:jc w:val="both"/>
            </w:pPr>
            <w:r w:rsidRPr="00DE2BE7">
              <w:t xml:space="preserve">4.3. Anotācijas I sadaļas 2. punktā, skaidrojot projekta 3. pantā paredzēto likuma 20. panta pirmo daļu, ir norādīts, ka brīdinājumu varētu piemērot gadījumos, kad informācija drošības datu lapā ir nepilnīga, bet tas nerada būtiskus draudus. Norādām, ka, ja personas izdarītais administratīvais pārkāpums nav radījis tādu apdraudējumu tiesiski aizsargātajām interesēm, amatpersona var administratīvā pārkāpuma procesu neuzsākt un atzīt minēto pārkāpumu par maznozīmīgu </w:t>
            </w:r>
            <w:r w:rsidRPr="00DE2BE7">
              <w:rPr>
                <w:i/>
                <w:iCs/>
              </w:rPr>
              <w:t xml:space="preserve">(skatīt Administratīvās atbildības likuma 11. panta pirmo daļu). </w:t>
            </w:r>
            <w:r w:rsidRPr="00DE2BE7">
              <w:t>Ievērojot minēto, lūdzam izvērtēt, vai anotācijā minētajā gadījumā pārkāpums varētu būt maznozīmīgs jeb tāds, par kuru administratīvo atbildību nevajadzētu piemērot. Attiecīgi lūdzam precizēt anotācijā norādīto informāciju.</w:t>
            </w:r>
          </w:p>
          <w:p w14:paraId="5EB2E005" w14:textId="6F9F80DC" w:rsidR="00680FFE" w:rsidRPr="00DE2BE7" w:rsidRDefault="00680FFE" w:rsidP="00CE3F17"/>
        </w:tc>
        <w:tc>
          <w:tcPr>
            <w:tcW w:w="3799" w:type="dxa"/>
            <w:vMerge w:val="restart"/>
          </w:tcPr>
          <w:p w14:paraId="51C20FB5" w14:textId="50AB32DE" w:rsidR="00680FFE" w:rsidRDefault="00680FFE" w:rsidP="00747D95">
            <w:pPr>
              <w:pStyle w:val="BodyText"/>
              <w:spacing w:after="0"/>
              <w:jc w:val="both"/>
              <w:rPr>
                <w:rFonts w:eastAsia="Calibri"/>
                <w:b/>
                <w:bCs/>
                <w:lang w:eastAsia="en-US"/>
              </w:rPr>
            </w:pPr>
            <w:r w:rsidRPr="00DE2BE7">
              <w:rPr>
                <w:rFonts w:eastAsia="Calibri"/>
                <w:b/>
                <w:bCs/>
                <w:lang w:eastAsia="en-US"/>
              </w:rPr>
              <w:t xml:space="preserve">Iebildums ņemts vērā. </w:t>
            </w:r>
          </w:p>
          <w:p w14:paraId="494D8AE4" w14:textId="77777777" w:rsidR="00005B63" w:rsidRDefault="00005B63" w:rsidP="00747D95">
            <w:pPr>
              <w:pStyle w:val="BodyText"/>
              <w:spacing w:after="0"/>
              <w:jc w:val="both"/>
              <w:rPr>
                <w:rFonts w:eastAsia="Calibri"/>
                <w:b/>
                <w:bCs/>
                <w:lang w:eastAsia="en-US"/>
              </w:rPr>
            </w:pPr>
          </w:p>
          <w:p w14:paraId="0F490952" w14:textId="5B51AA2E" w:rsidR="00680FFE" w:rsidRPr="00DE2BE7" w:rsidRDefault="00680FFE" w:rsidP="00846E46">
            <w:pPr>
              <w:pStyle w:val="BodyText"/>
              <w:spacing w:after="0"/>
              <w:jc w:val="both"/>
              <w:rPr>
                <w:rStyle w:val="normaltextrun"/>
              </w:rPr>
            </w:pPr>
            <w:r>
              <w:rPr>
                <w:rFonts w:eastAsia="Calibri"/>
                <w:lang w:eastAsia="en-US"/>
              </w:rPr>
              <w:t>Likumprojekts un anotācija precizēti</w:t>
            </w:r>
            <w:r w:rsidR="003B04B9">
              <w:rPr>
                <w:rFonts w:eastAsia="Calibri"/>
                <w:lang w:eastAsia="en-US"/>
              </w:rPr>
              <w:t xml:space="preserve">, ietverot </w:t>
            </w:r>
            <w:r w:rsidR="003B04B9" w:rsidRPr="00B7329D">
              <w:t xml:space="preserve">Latvijas Administratīvo pārkāpumu kodeksa </w:t>
            </w:r>
            <w:r w:rsidR="003B04B9">
              <w:t>(</w:t>
            </w:r>
            <w:proofErr w:type="gramStart"/>
            <w:r w:rsidR="003B04B9">
              <w:t>turpmāk –L</w:t>
            </w:r>
            <w:proofErr w:type="gramEnd"/>
            <w:r w:rsidR="003B04B9">
              <w:t xml:space="preserve">APK) </w:t>
            </w:r>
            <w:r w:rsidR="00846E46">
              <w:rPr>
                <w:rFonts w:eastAsia="Calibri"/>
                <w:lang w:eastAsia="en-US"/>
              </w:rPr>
              <w:t>noteiktos naudas sodu apmērus.</w:t>
            </w:r>
          </w:p>
        </w:tc>
        <w:tc>
          <w:tcPr>
            <w:tcW w:w="3431" w:type="dxa"/>
            <w:vMerge w:val="restart"/>
          </w:tcPr>
          <w:p w14:paraId="7FF738AC" w14:textId="5644236B" w:rsidR="00680FFE" w:rsidRPr="00DE2BE7" w:rsidRDefault="00680FFE" w:rsidP="00680FFE">
            <w:pPr>
              <w:pStyle w:val="BodyTextIndent"/>
              <w:ind w:right="57" w:firstLine="0"/>
              <w:rPr>
                <w:rFonts w:eastAsia="Calibri"/>
                <w:lang w:eastAsia="en-US"/>
              </w:rPr>
            </w:pPr>
          </w:p>
        </w:tc>
      </w:tr>
      <w:tr w:rsidR="00680FFE" w:rsidRPr="001C678F" w14:paraId="18EC716F" w14:textId="77777777" w:rsidTr="00846E46">
        <w:tc>
          <w:tcPr>
            <w:tcW w:w="846" w:type="dxa"/>
          </w:tcPr>
          <w:p w14:paraId="69F513AD" w14:textId="404868D0" w:rsidR="00680FFE" w:rsidRPr="008E660F" w:rsidRDefault="0012349D" w:rsidP="00680FFE">
            <w:pPr>
              <w:pStyle w:val="naisf"/>
              <w:spacing w:before="0" w:after="0"/>
              <w:ind w:firstLine="0"/>
              <w:jc w:val="center"/>
            </w:pPr>
            <w:r w:rsidRPr="008E660F">
              <w:t>5.</w:t>
            </w:r>
          </w:p>
        </w:tc>
        <w:tc>
          <w:tcPr>
            <w:tcW w:w="2410" w:type="dxa"/>
          </w:tcPr>
          <w:p w14:paraId="7A00BA92" w14:textId="2E78ED5D" w:rsidR="00680FFE" w:rsidRPr="001C678F" w:rsidRDefault="00680FFE" w:rsidP="00680FFE">
            <w:pPr>
              <w:jc w:val="both"/>
            </w:pPr>
            <w:r w:rsidRPr="001C678F">
              <w:t>Vispārīgs iebildums.</w:t>
            </w:r>
          </w:p>
        </w:tc>
        <w:tc>
          <w:tcPr>
            <w:tcW w:w="4110" w:type="dxa"/>
          </w:tcPr>
          <w:p w14:paraId="7036D24A" w14:textId="288C0D31" w:rsidR="00680FFE" w:rsidRDefault="00680FFE" w:rsidP="00760E6F">
            <w:pPr>
              <w:pStyle w:val="xmsonormal"/>
              <w:shd w:val="clear" w:color="auto" w:fill="FFFFFF"/>
              <w:spacing w:before="0" w:beforeAutospacing="0" w:after="0" w:afterAutospacing="0" w:line="253" w:lineRule="atLeast"/>
              <w:jc w:val="both"/>
              <w:rPr>
                <w:b/>
                <w:bCs/>
              </w:rPr>
            </w:pPr>
            <w:r w:rsidRPr="001C678F">
              <w:rPr>
                <w:b/>
                <w:bCs/>
              </w:rPr>
              <w:t xml:space="preserve">Tieslietu ministrijas 2019. gada 20. decembra </w:t>
            </w:r>
            <w:r w:rsidR="00E06B4A">
              <w:rPr>
                <w:b/>
                <w:bCs/>
              </w:rPr>
              <w:t>saskaņošanas e-pasts</w:t>
            </w:r>
          </w:p>
          <w:p w14:paraId="6AF7C4FD" w14:textId="77777777" w:rsidR="00005B63" w:rsidRPr="001C678F" w:rsidRDefault="00005B63" w:rsidP="00680FFE">
            <w:pPr>
              <w:pStyle w:val="xmsonormal"/>
              <w:shd w:val="clear" w:color="auto" w:fill="FFFFFF"/>
              <w:spacing w:before="0" w:beforeAutospacing="0" w:after="0" w:afterAutospacing="0" w:line="253" w:lineRule="atLeast"/>
              <w:rPr>
                <w:bdr w:val="none" w:sz="0" w:space="0" w:color="auto" w:frame="1"/>
              </w:rPr>
            </w:pPr>
          </w:p>
          <w:p w14:paraId="022E41FE" w14:textId="77777777" w:rsidR="00680FFE" w:rsidRPr="001C678F" w:rsidRDefault="00680FFE" w:rsidP="00005B63">
            <w:pPr>
              <w:pStyle w:val="xmsonormal"/>
              <w:shd w:val="clear" w:color="auto" w:fill="FFFFFF"/>
              <w:spacing w:before="0" w:beforeAutospacing="0" w:after="0" w:afterAutospacing="0" w:line="253" w:lineRule="atLeast"/>
              <w:jc w:val="both"/>
              <w:rPr>
                <w:rFonts w:ascii="Calibri" w:hAnsi="Calibri" w:cs="Calibri"/>
                <w:sz w:val="22"/>
                <w:szCs w:val="22"/>
              </w:rPr>
            </w:pPr>
            <w:r w:rsidRPr="001C678F">
              <w:rPr>
                <w:bdr w:val="none" w:sz="0" w:space="0" w:color="auto" w:frame="1"/>
              </w:rPr>
              <w:t>Atbilstoši 2019. gada 19. decembra sanāksmē nolemtajam, lūdzam attiecīgi precizēt likumprojektu "Grozījumi Ķīmisko vielu likumā" (VSS – 900). Proti:</w:t>
            </w:r>
          </w:p>
          <w:p w14:paraId="5F3DC2A7" w14:textId="46202D78" w:rsidR="00680FFE" w:rsidRPr="001C678F" w:rsidRDefault="00680FFE" w:rsidP="00005B63">
            <w:pPr>
              <w:pStyle w:val="xmsonormal"/>
              <w:shd w:val="clear" w:color="auto" w:fill="FFFFFF"/>
              <w:spacing w:before="0" w:beforeAutospacing="0" w:after="0" w:afterAutospacing="0"/>
              <w:jc w:val="both"/>
              <w:rPr>
                <w:rFonts w:ascii="Segoe UI" w:hAnsi="Segoe UI" w:cs="Segoe UI"/>
                <w:sz w:val="23"/>
                <w:szCs w:val="23"/>
              </w:rPr>
            </w:pPr>
            <w:r>
              <w:rPr>
                <w:bdr w:val="none" w:sz="0" w:space="0" w:color="auto" w:frame="1"/>
              </w:rPr>
              <w:t xml:space="preserve">2. </w:t>
            </w:r>
            <w:r w:rsidRPr="001C678F">
              <w:rPr>
                <w:bdr w:val="none" w:sz="0" w:space="0" w:color="auto" w:frame="1"/>
              </w:rPr>
              <w:t>Projekta 4. pantā ir paredzēts vairākkārt celt naudas sodu apmēru par noteiktiem administratīvajiem pārkāpumiem (piemēram, paredzētā likuma 19. panta piektā daļa, 20. panta astotā daļa, 22. panta trešā daļa, 23. panta ceturtā, piektā un sestā daļa). Ievērojot minēto, lūdzam papildināt anotācijā ietverto skaidrojumu par nepieciešamību palielināt naudas soda apmēru. Proti, būtu nepieciešams pierādījumos balstīts pamatojums (piemēram, statistikas dati), ka pašreizējais soda apmērs nav efektīvs, atturošs vai samērīgs. Sodu sistēmas pārskatīšanai nepieciešams īpašs </w:t>
            </w:r>
            <w:r w:rsidRPr="001C678F">
              <w:rPr>
                <w:i/>
                <w:iCs/>
                <w:bdr w:val="none" w:sz="0" w:space="0" w:color="auto" w:frame="1"/>
              </w:rPr>
              <w:t xml:space="preserve">pamatojums </w:t>
            </w:r>
            <w:proofErr w:type="gramStart"/>
            <w:r w:rsidRPr="001C678F">
              <w:rPr>
                <w:i/>
                <w:iCs/>
                <w:bdr w:val="none" w:sz="0" w:space="0" w:color="auto" w:frame="1"/>
              </w:rPr>
              <w:t>(</w:t>
            </w:r>
            <w:proofErr w:type="gramEnd"/>
            <w:r w:rsidRPr="001C678F">
              <w:rPr>
                <w:i/>
                <w:iCs/>
                <w:bdr w:val="none" w:sz="0" w:space="0" w:color="auto" w:frame="1"/>
              </w:rPr>
              <w:t>Latvijas Republikas 13. Saeimas Juridiskās komisijas Krimināltiesību politikas apakškomisijas 2019. gada 12. februāra sēdes protokols Nr. 6).</w:t>
            </w:r>
            <w:r w:rsidRPr="001C678F">
              <w:rPr>
                <w:bdr w:val="none" w:sz="0" w:space="0" w:color="auto" w:frame="1"/>
              </w:rPr>
              <w:t xml:space="preserve"> </w:t>
            </w:r>
          </w:p>
        </w:tc>
        <w:tc>
          <w:tcPr>
            <w:tcW w:w="3799" w:type="dxa"/>
            <w:vMerge/>
          </w:tcPr>
          <w:p w14:paraId="38779542" w14:textId="7A4BB9B4" w:rsidR="00680FFE" w:rsidRPr="001C678F" w:rsidRDefault="00680FFE" w:rsidP="00680FFE">
            <w:pPr>
              <w:spacing w:after="120"/>
              <w:ind w:left="82" w:firstLine="284"/>
              <w:jc w:val="both"/>
              <w:rPr>
                <w:rStyle w:val="normaltextrun"/>
              </w:rPr>
            </w:pPr>
          </w:p>
        </w:tc>
        <w:tc>
          <w:tcPr>
            <w:tcW w:w="3431" w:type="dxa"/>
            <w:vMerge/>
          </w:tcPr>
          <w:p w14:paraId="5EA5C7BC" w14:textId="77777777" w:rsidR="00680FFE" w:rsidRPr="001C678F" w:rsidRDefault="00680FFE" w:rsidP="00680FFE">
            <w:pPr>
              <w:pStyle w:val="BodyTextIndent"/>
              <w:ind w:right="57" w:firstLine="0"/>
              <w:rPr>
                <w:rFonts w:eastAsia="Calibri"/>
                <w:lang w:eastAsia="en-US"/>
              </w:rPr>
            </w:pPr>
          </w:p>
        </w:tc>
      </w:tr>
      <w:tr w:rsidR="00680FFE" w:rsidRPr="001C678F" w14:paraId="19E41B0A" w14:textId="77777777" w:rsidTr="65362092">
        <w:tc>
          <w:tcPr>
            <w:tcW w:w="846" w:type="dxa"/>
          </w:tcPr>
          <w:p w14:paraId="19F54E08" w14:textId="6C8F2BC0" w:rsidR="00680FFE" w:rsidRPr="008E660F" w:rsidRDefault="0012349D" w:rsidP="00680FFE">
            <w:pPr>
              <w:pStyle w:val="naisf"/>
              <w:spacing w:before="0" w:after="0"/>
              <w:ind w:firstLine="0"/>
              <w:jc w:val="center"/>
            </w:pPr>
            <w:r w:rsidRPr="008E660F">
              <w:t>6.</w:t>
            </w:r>
          </w:p>
        </w:tc>
        <w:tc>
          <w:tcPr>
            <w:tcW w:w="2410" w:type="dxa"/>
          </w:tcPr>
          <w:p w14:paraId="72BF5AF3" w14:textId="6092ED2E" w:rsidR="00680FFE" w:rsidRPr="001C678F" w:rsidRDefault="00680FFE" w:rsidP="00680FFE">
            <w:pPr>
              <w:jc w:val="both"/>
            </w:pPr>
            <w:r w:rsidRPr="001C678F">
              <w:t>Vispārīgs iebildums.</w:t>
            </w:r>
          </w:p>
        </w:tc>
        <w:tc>
          <w:tcPr>
            <w:tcW w:w="4110" w:type="dxa"/>
          </w:tcPr>
          <w:p w14:paraId="4D5C20AE" w14:textId="1EF3502B" w:rsidR="00680FFE" w:rsidRDefault="00680FFE" w:rsidP="00760E6F">
            <w:pPr>
              <w:pStyle w:val="xmsonormal"/>
              <w:shd w:val="clear" w:color="auto" w:fill="FFFFFF"/>
              <w:spacing w:before="0" w:beforeAutospacing="0" w:after="0" w:afterAutospacing="0" w:line="253" w:lineRule="atLeast"/>
              <w:jc w:val="both"/>
              <w:rPr>
                <w:b/>
                <w:bCs/>
              </w:rPr>
            </w:pPr>
            <w:r w:rsidRPr="001C678F">
              <w:rPr>
                <w:b/>
                <w:bCs/>
              </w:rPr>
              <w:t xml:space="preserve">Tieslietu ministrijas 2019. gada 20. decembra </w:t>
            </w:r>
            <w:r w:rsidR="00E06B4A">
              <w:rPr>
                <w:b/>
                <w:bCs/>
              </w:rPr>
              <w:t>saskaņošanas</w:t>
            </w:r>
            <w:r w:rsidR="00005B63">
              <w:rPr>
                <w:b/>
                <w:bCs/>
              </w:rPr>
              <w:t xml:space="preserve"> </w:t>
            </w:r>
            <w:r w:rsidR="00E06B4A">
              <w:rPr>
                <w:b/>
                <w:bCs/>
              </w:rPr>
              <w:t>e-pasts</w:t>
            </w:r>
          </w:p>
          <w:p w14:paraId="3ED62ADD" w14:textId="77777777" w:rsidR="00005B63" w:rsidRPr="001C678F" w:rsidRDefault="00005B63" w:rsidP="00680FFE">
            <w:pPr>
              <w:pStyle w:val="xmsonormal"/>
              <w:shd w:val="clear" w:color="auto" w:fill="FFFFFF"/>
              <w:spacing w:before="0" w:beforeAutospacing="0" w:after="0" w:afterAutospacing="0" w:line="253" w:lineRule="atLeast"/>
              <w:rPr>
                <w:bdr w:val="none" w:sz="0" w:space="0" w:color="auto" w:frame="1"/>
              </w:rPr>
            </w:pPr>
          </w:p>
          <w:p w14:paraId="798C38F9" w14:textId="733B84A2" w:rsidR="00680FFE" w:rsidRPr="001C678F" w:rsidRDefault="00680FFE" w:rsidP="00680FFE">
            <w:pPr>
              <w:pStyle w:val="xmsonormal"/>
              <w:shd w:val="clear" w:color="auto" w:fill="FFFFFF"/>
              <w:spacing w:before="0" w:beforeAutospacing="0" w:after="0" w:afterAutospacing="0" w:line="253" w:lineRule="atLeast"/>
              <w:rPr>
                <w:sz w:val="22"/>
                <w:szCs w:val="22"/>
              </w:rPr>
            </w:pPr>
            <w:r w:rsidRPr="001C678F">
              <w:rPr>
                <w:bdr w:val="none" w:sz="0" w:space="0" w:color="auto" w:frame="1"/>
              </w:rPr>
              <w:t>Atbilstoši 2019. gada 19. decembra sanāksmē nolemtajam, lūdzam attiecīgi precizēt likumprojektu "Grozījumi Ķīmisko vielu likumā" (VSS – 900). Proti:</w:t>
            </w:r>
          </w:p>
          <w:p w14:paraId="32111882" w14:textId="55E56248" w:rsidR="00680FFE" w:rsidRPr="001C678F" w:rsidRDefault="00680FFE" w:rsidP="00005B63">
            <w:pPr>
              <w:pStyle w:val="xmsonormal"/>
              <w:numPr>
                <w:ilvl w:val="0"/>
                <w:numId w:val="27"/>
              </w:numPr>
              <w:shd w:val="clear" w:color="auto" w:fill="FFFFFF"/>
              <w:spacing w:before="0" w:beforeAutospacing="0" w:after="0" w:afterAutospacing="0"/>
              <w:jc w:val="both"/>
              <w:rPr>
                <w:rFonts w:ascii="Segoe UI" w:hAnsi="Segoe UI" w:cs="Segoe UI"/>
                <w:sz w:val="23"/>
                <w:szCs w:val="23"/>
              </w:rPr>
            </w:pPr>
            <w:r w:rsidRPr="001C678F">
              <w:rPr>
                <w:bdr w:val="none" w:sz="0" w:space="0" w:color="auto" w:frame="1"/>
              </w:rPr>
              <w:t>Ievērojot, ka šobrīd Saeimā tiek skatīts Tieslietu ministrijas izstrādātais likumprojekts "Administratīvo sodu likums par pārkāpumiem pārvaldes, sabiedriskās kārtības un valsts valodas lietošanas jomā", kurā ir noteikta administratīvā atbildība par informācijas nesniegšanu, informācijas nepienācīgu sniegšanu vai nepatiesas informācijas sniegšanu iestādei (</w:t>
            </w:r>
            <w:hyperlink r:id="rId8" w:tgtFrame="_blank" w:history="1">
              <w:r w:rsidRPr="001C678F">
                <w:rPr>
                  <w:rStyle w:val="Hyperlink"/>
                  <w:color w:val="auto"/>
                  <w:bdr w:val="none" w:sz="0" w:space="0" w:color="auto" w:frame="1"/>
                </w:rPr>
                <w:t>https://titania.saeima.lv/LIVS13/saeimalivs13.nsf/webAll?SearchView&amp;Query=([NumberTxt]=342/Lp13)&amp;SearchMax=0&amp;SearchOrder=4</w:t>
              </w:r>
            </w:hyperlink>
            <w:r w:rsidRPr="001C678F">
              <w:rPr>
                <w:bdr w:val="none" w:sz="0" w:space="0" w:color="auto" w:frame="1"/>
              </w:rPr>
              <w:t>), lūdzam no projekta izslēgt administratīvā pārkāpuma sastāvus, kuri aptveras jau ar minēto pārkāpumu sastāvu informācijas sniegšanas jomā.</w:t>
            </w:r>
          </w:p>
        </w:tc>
        <w:tc>
          <w:tcPr>
            <w:tcW w:w="3799" w:type="dxa"/>
          </w:tcPr>
          <w:p w14:paraId="437BC8A4" w14:textId="77777777" w:rsidR="00680FFE" w:rsidRDefault="00680FFE" w:rsidP="00680FFE">
            <w:pPr>
              <w:pStyle w:val="BodyText"/>
              <w:spacing w:after="0"/>
              <w:jc w:val="both"/>
              <w:rPr>
                <w:rFonts w:eastAsia="Calibri"/>
                <w:b/>
                <w:bCs/>
                <w:lang w:eastAsia="en-US"/>
              </w:rPr>
            </w:pPr>
            <w:r w:rsidRPr="001C678F">
              <w:rPr>
                <w:rFonts w:eastAsia="Calibri"/>
                <w:b/>
                <w:bCs/>
                <w:lang w:eastAsia="en-US"/>
              </w:rPr>
              <w:t xml:space="preserve">Iebildums ņemts vērā. </w:t>
            </w:r>
          </w:p>
          <w:p w14:paraId="1A361A68" w14:textId="77777777" w:rsidR="007C711E" w:rsidRPr="001C678F" w:rsidRDefault="007C711E" w:rsidP="00680FFE">
            <w:pPr>
              <w:pStyle w:val="BodyText"/>
              <w:spacing w:after="0"/>
              <w:jc w:val="both"/>
              <w:rPr>
                <w:rStyle w:val="normaltextrun"/>
              </w:rPr>
            </w:pPr>
          </w:p>
          <w:p w14:paraId="54E6135C" w14:textId="334554CE" w:rsidR="00680FFE" w:rsidRPr="001C678F" w:rsidRDefault="00680FFE" w:rsidP="007C711E">
            <w:pPr>
              <w:spacing w:after="120"/>
              <w:ind w:left="82"/>
              <w:jc w:val="both"/>
              <w:rPr>
                <w:rStyle w:val="normaltextrun"/>
              </w:rPr>
            </w:pPr>
            <w:r w:rsidRPr="001C678F">
              <w:rPr>
                <w:rStyle w:val="normaltextrun"/>
              </w:rPr>
              <w:t>Likump</w:t>
            </w:r>
            <w:r w:rsidR="00B0578A">
              <w:rPr>
                <w:rStyle w:val="normaltextrun"/>
              </w:rPr>
              <w:t xml:space="preserve">rojekts (izslēgts 19. panta pirmais pants) </w:t>
            </w:r>
            <w:r w:rsidR="00B0578A" w:rsidRPr="008E660F">
              <w:rPr>
                <w:rStyle w:val="normaltextrun"/>
              </w:rPr>
              <w:t>un anotācija precizēti</w:t>
            </w:r>
            <w:r w:rsidR="008E660F">
              <w:rPr>
                <w:rStyle w:val="normaltextrun"/>
              </w:rPr>
              <w:t>. S</w:t>
            </w:r>
            <w:r w:rsidRPr="008E660F">
              <w:rPr>
                <w:bCs/>
              </w:rPr>
              <w:t xml:space="preserve">oda sankcijas par pārkāpumiem par informācijas nesniegšanu iestādēm, </w:t>
            </w:r>
            <w:r w:rsidRPr="008E660F">
              <w:t>kas</w:t>
            </w:r>
            <w:r w:rsidRPr="001C678F">
              <w:t xml:space="preserve"> izriet</w:t>
            </w:r>
            <w:r w:rsidRPr="001C678F">
              <w:rPr>
                <w:b/>
                <w:bCs/>
              </w:rPr>
              <w:t xml:space="preserve"> </w:t>
            </w:r>
            <w:r w:rsidRPr="001C678F">
              <w:rPr>
                <w:bCs/>
              </w:rPr>
              <w:t>no</w:t>
            </w:r>
            <w:r w:rsidRPr="001C678F">
              <w:rPr>
                <w:b/>
                <w:bCs/>
              </w:rPr>
              <w:t xml:space="preserve"> </w:t>
            </w:r>
            <w:r w:rsidRPr="001C678F">
              <w:t>LAPK 88.</w:t>
            </w:r>
            <w:r w:rsidRPr="001C678F">
              <w:rPr>
                <w:vertAlign w:val="superscript"/>
              </w:rPr>
              <w:t>4</w:t>
            </w:r>
            <w:r w:rsidRPr="001C678F">
              <w:t xml:space="preserve"> panta </w:t>
            </w:r>
            <w:proofErr w:type="gramStart"/>
            <w:r w:rsidRPr="001C678F">
              <w:t>ceturtā daļā</w:t>
            </w:r>
            <w:proofErr w:type="gramEnd"/>
            <w:r w:rsidRPr="001C678F">
              <w:t xml:space="preserve"> noteiktās administratīvā atbildības par Ministru kabineta 2015. gada 22. decembra noteikumu Nr. 795 “Ķīmisko vielu un maisījumu uzskaites kārtība un datubāze” 4. punkta, un LAPK 88.</w:t>
            </w:r>
            <w:r w:rsidRPr="001C678F">
              <w:rPr>
                <w:vertAlign w:val="superscript"/>
              </w:rPr>
              <w:t>1</w:t>
            </w:r>
            <w:r w:rsidRPr="001C678F">
              <w:t xml:space="preserve"> panta otrā daļā noteikto prasību pārkāpšanu par ozona slāni norādošo vielu izmantošanas, ražošanas, ievešanas (importa) un izvešanas (eksporta) pārskatu neiesniegšanu tiks ietverti Likumprojektā “Administratīvo sodu likums par pārkāpumiem pārvaldes, sabiedriskās kārtības un valsts valodas lietošanas jomā” 3. panta otrajā daļā par informācijas nesniegšanu iestādei, sas</w:t>
            </w:r>
            <w:r w:rsidR="00846E46">
              <w:t>kaņā ar Ministru kabineta 2018. gada 18. </w:t>
            </w:r>
            <w:r w:rsidRPr="001C678F">
              <w:t xml:space="preserve">decembra sēdes </w:t>
            </w:r>
            <w:proofErr w:type="spellStart"/>
            <w:r w:rsidRPr="001C678F">
              <w:t>protokollēmumu</w:t>
            </w:r>
            <w:proofErr w:type="spellEnd"/>
            <w:r w:rsidRPr="001C678F">
              <w:t xml:space="preserve"> Nr.</w:t>
            </w:r>
            <w:r w:rsidR="006D564A">
              <w:t>  </w:t>
            </w:r>
            <w:r w:rsidRPr="001C678F">
              <w:t>60 98.§ “Informatīvo ziņojumu “Nozaru administratīvo pārkāpumu kodifikācijas ievi</w:t>
            </w:r>
            <w:r w:rsidR="00846E46">
              <w:t>ešanas sistēmas īstenošana”” 5. </w:t>
            </w:r>
            <w:r w:rsidRPr="001C678F">
              <w:t xml:space="preserve">punktā doto uzdevumu. </w:t>
            </w:r>
          </w:p>
        </w:tc>
        <w:tc>
          <w:tcPr>
            <w:tcW w:w="3431" w:type="dxa"/>
          </w:tcPr>
          <w:p w14:paraId="19818BFD" w14:textId="3DB7C5F3" w:rsidR="00680FFE" w:rsidRPr="001C678F" w:rsidRDefault="00680FFE" w:rsidP="00680FFE">
            <w:pPr>
              <w:pStyle w:val="BodyTextIndent"/>
              <w:ind w:right="57" w:firstLine="0"/>
              <w:rPr>
                <w:rFonts w:eastAsia="Calibri"/>
                <w:lang w:eastAsia="en-US"/>
              </w:rPr>
            </w:pPr>
          </w:p>
        </w:tc>
      </w:tr>
      <w:tr w:rsidR="00680FFE" w:rsidRPr="001C678F" w14:paraId="7374AE11" w14:textId="77777777" w:rsidTr="65362092">
        <w:tc>
          <w:tcPr>
            <w:tcW w:w="846" w:type="dxa"/>
          </w:tcPr>
          <w:p w14:paraId="2A678651" w14:textId="4B8E6181" w:rsidR="00680FFE" w:rsidRPr="008E660F" w:rsidRDefault="0012349D" w:rsidP="00680FFE">
            <w:pPr>
              <w:pStyle w:val="naisf"/>
              <w:spacing w:before="0" w:after="0"/>
              <w:ind w:firstLine="0"/>
              <w:jc w:val="center"/>
            </w:pPr>
            <w:r w:rsidRPr="008E660F">
              <w:t>7.</w:t>
            </w:r>
          </w:p>
        </w:tc>
        <w:tc>
          <w:tcPr>
            <w:tcW w:w="2410" w:type="dxa"/>
          </w:tcPr>
          <w:p w14:paraId="6C86679D" w14:textId="2E8F2EA0" w:rsidR="00680FFE" w:rsidRPr="001C678F" w:rsidRDefault="00680FFE" w:rsidP="00680FFE">
            <w:pPr>
              <w:jc w:val="both"/>
              <w:rPr>
                <w:bdr w:val="none" w:sz="0" w:space="0" w:color="auto" w:frame="1"/>
              </w:rPr>
            </w:pPr>
            <w:r w:rsidRPr="001C678F">
              <w:t xml:space="preserve">Likumprojekta paredzētajā likuma </w:t>
            </w:r>
            <w:r w:rsidRPr="001C678F">
              <w:rPr>
                <w:bdr w:val="none" w:sz="0" w:space="0" w:color="auto" w:frame="1"/>
              </w:rPr>
              <w:t xml:space="preserve">24. panta ceturtā daļa: </w:t>
            </w:r>
          </w:p>
          <w:p w14:paraId="531238F0" w14:textId="77777777" w:rsidR="00680FFE" w:rsidRPr="001C678F" w:rsidRDefault="00680FFE" w:rsidP="00680FFE">
            <w:pPr>
              <w:pStyle w:val="BodyTextIndent"/>
              <w:ind w:right="57" w:firstLine="0"/>
              <w:jc w:val="left"/>
              <w:rPr>
                <w:rFonts w:eastAsia="Calibri"/>
                <w:b/>
                <w:lang w:eastAsia="en-US"/>
              </w:rPr>
            </w:pPr>
            <w:r w:rsidRPr="001C678F">
              <w:rPr>
                <w:bdr w:val="none" w:sz="0" w:space="0" w:color="auto" w:frame="1"/>
              </w:rPr>
              <w:t>“</w:t>
            </w:r>
            <w:r w:rsidRPr="001C678F">
              <w:rPr>
                <w:rFonts w:eastAsia="Calibri"/>
                <w:b/>
                <w:lang w:eastAsia="en-US"/>
              </w:rPr>
              <w:t>24. pants. Kompetence administratīvo pārkāpumu procesā</w:t>
            </w:r>
          </w:p>
          <w:p w14:paraId="6098AD10" w14:textId="7D1F225B" w:rsidR="00680FFE" w:rsidRPr="001C678F" w:rsidRDefault="00680FFE" w:rsidP="00005B63">
            <w:pPr>
              <w:pStyle w:val="tv213"/>
              <w:shd w:val="clear" w:color="auto" w:fill="FFFFFF" w:themeFill="background1"/>
              <w:spacing w:before="120" w:beforeAutospacing="0" w:after="120" w:afterAutospacing="0" w:line="293" w:lineRule="atLeast"/>
              <w:jc w:val="both"/>
            </w:pPr>
            <w:r w:rsidRPr="001C678F">
              <w:t>(4) Administratīvā pārkāpuma procesu par šā likuma 19. panta septītajā daļā minētajiem pārkāpumiem līdz administratīvā pārkāpuma lietas izskatīšanai veic valsts sabiedrība ar ierobežotu atbildību “Latvijas proves birojs”. Administratīvā pārkāpuma lietu izskata Valsts ieņēmumu dienests. Administratīvā pārkāpuma procesu par šā likuma 19. panta ceturtajā daļā minētajiem pārkāpumiem par neatļautu bīstamo ķīmisko vielu eksportu un 23. panta piektajā daļā minētajiem pārkāpumiem attiecībā uz bīstamo vielu aprites ierobežojumu neievērošanu un kontrolējamo vielu ievešanu (importu) veic Valsts ieņēmumu dienests.”</w:t>
            </w:r>
          </w:p>
        </w:tc>
        <w:tc>
          <w:tcPr>
            <w:tcW w:w="4110" w:type="dxa"/>
          </w:tcPr>
          <w:p w14:paraId="679B664A" w14:textId="20998BF9" w:rsidR="00680FFE" w:rsidRDefault="00680FFE" w:rsidP="00760E6F">
            <w:pPr>
              <w:pStyle w:val="xmsonormal"/>
              <w:shd w:val="clear" w:color="auto" w:fill="FFFFFF"/>
              <w:spacing w:before="0" w:beforeAutospacing="0" w:after="0" w:afterAutospacing="0" w:line="253" w:lineRule="atLeast"/>
              <w:jc w:val="both"/>
              <w:rPr>
                <w:b/>
                <w:bCs/>
              </w:rPr>
            </w:pPr>
            <w:r w:rsidRPr="001C678F">
              <w:rPr>
                <w:b/>
                <w:bCs/>
              </w:rPr>
              <w:t>Tieslietu ministrijas 2019. g</w:t>
            </w:r>
            <w:r w:rsidR="00E06B4A">
              <w:rPr>
                <w:b/>
                <w:bCs/>
              </w:rPr>
              <w:t>ada 20. decembra saskaņošanas e-pasts</w:t>
            </w:r>
          </w:p>
          <w:p w14:paraId="32129B58" w14:textId="77777777" w:rsidR="00005B63" w:rsidRPr="001C678F" w:rsidRDefault="00005B63" w:rsidP="00680FFE">
            <w:pPr>
              <w:pStyle w:val="xmsonormal"/>
              <w:shd w:val="clear" w:color="auto" w:fill="FFFFFF"/>
              <w:spacing w:before="0" w:beforeAutospacing="0" w:after="0" w:afterAutospacing="0" w:line="253" w:lineRule="atLeast"/>
              <w:rPr>
                <w:bdr w:val="none" w:sz="0" w:space="0" w:color="auto" w:frame="1"/>
              </w:rPr>
            </w:pPr>
          </w:p>
          <w:p w14:paraId="2E553BE2" w14:textId="31E63566" w:rsidR="00680FFE" w:rsidRPr="001C678F" w:rsidRDefault="00680FFE" w:rsidP="00005B63">
            <w:pPr>
              <w:pStyle w:val="xmsonormal"/>
              <w:shd w:val="clear" w:color="auto" w:fill="FFFFFF"/>
              <w:spacing w:before="0" w:beforeAutospacing="0" w:after="0" w:afterAutospacing="0" w:line="253" w:lineRule="atLeast"/>
              <w:jc w:val="both"/>
              <w:rPr>
                <w:rFonts w:ascii="Calibri" w:hAnsi="Calibri" w:cs="Calibri"/>
                <w:sz w:val="22"/>
                <w:szCs w:val="22"/>
              </w:rPr>
            </w:pPr>
            <w:r w:rsidRPr="001C678F">
              <w:rPr>
                <w:bdr w:val="none" w:sz="0" w:space="0" w:color="auto" w:frame="1"/>
              </w:rPr>
              <w:t>Atbilstoši 2019. gada 19. decembra sanāksmē nolemtajam, lūdzam attiecīgi precizēt likumprojektu "Grozījumi Ķīmisko vielu likumā" (VSS – 900). Proti:</w:t>
            </w:r>
          </w:p>
          <w:p w14:paraId="51C5C2A7" w14:textId="7167CC45" w:rsidR="00680FFE" w:rsidRPr="001C678F" w:rsidRDefault="00680FFE" w:rsidP="00005B63">
            <w:pPr>
              <w:pStyle w:val="xmsonormal"/>
              <w:numPr>
                <w:ilvl w:val="0"/>
                <w:numId w:val="28"/>
              </w:numPr>
              <w:shd w:val="clear" w:color="auto" w:fill="FFFFFF"/>
              <w:spacing w:before="0" w:after="0" w:afterAutospacing="0"/>
              <w:jc w:val="both"/>
              <w:rPr>
                <w:rFonts w:ascii="Segoe UI" w:hAnsi="Segoe UI" w:cs="Segoe UI"/>
                <w:sz w:val="23"/>
                <w:szCs w:val="23"/>
              </w:rPr>
            </w:pPr>
            <w:r w:rsidRPr="001C678F">
              <w:rPr>
                <w:bdr w:val="none" w:sz="0" w:space="0" w:color="auto" w:frame="1"/>
              </w:rPr>
              <w:t>Norādām, ka Administratīvās atbildības likuma 115. panta pirmā daļa noteic tās iestāžu amatpersonas, kuras ir tiesīgas veikt administratīvā pārkāpuma procesu. Tādējādi administratīvā pārkāpuma procesu nav tiesīgas veikt citas minētajā pantā neminētas personas, tajā skaitā privātpersonas. Ievērojot minēto, lūdzam projektā paredzētajā likuma 24. panta ceturtajā daļā svītrot kompetenci admi</w:t>
            </w:r>
            <w:r w:rsidR="003B616E">
              <w:rPr>
                <w:bdr w:val="none" w:sz="0" w:space="0" w:color="auto" w:frame="1"/>
              </w:rPr>
              <w:t>nistratīvo pārkāpumu procesā VSIA</w:t>
            </w:r>
            <w:r w:rsidRPr="001C678F">
              <w:rPr>
                <w:bdr w:val="none" w:sz="0" w:space="0" w:color="auto" w:frame="1"/>
              </w:rPr>
              <w:t xml:space="preserve"> "Latvijas proves birojs".</w:t>
            </w:r>
          </w:p>
          <w:p w14:paraId="5C341E45" w14:textId="77777777" w:rsidR="00680FFE" w:rsidRPr="001C678F" w:rsidRDefault="00680FFE" w:rsidP="00680FFE">
            <w:pPr>
              <w:tabs>
                <w:tab w:val="left" w:pos="0"/>
                <w:tab w:val="left" w:pos="5529"/>
              </w:tabs>
            </w:pPr>
          </w:p>
        </w:tc>
        <w:tc>
          <w:tcPr>
            <w:tcW w:w="3799" w:type="dxa"/>
          </w:tcPr>
          <w:p w14:paraId="3AAB5B8E" w14:textId="77777777" w:rsidR="00680FFE" w:rsidRPr="007C711E" w:rsidRDefault="00680FFE" w:rsidP="00680FFE">
            <w:pPr>
              <w:pStyle w:val="BodyText"/>
              <w:spacing w:after="0"/>
              <w:jc w:val="both"/>
              <w:rPr>
                <w:rStyle w:val="normaltextrun"/>
              </w:rPr>
            </w:pPr>
            <w:r w:rsidRPr="007C711E">
              <w:rPr>
                <w:rFonts w:eastAsia="Calibri"/>
                <w:b/>
                <w:bCs/>
                <w:lang w:eastAsia="en-US"/>
              </w:rPr>
              <w:t xml:space="preserve">Iebildums ņemts vērā. </w:t>
            </w:r>
          </w:p>
          <w:p w14:paraId="567A26A4" w14:textId="48497ED1" w:rsidR="00680FFE" w:rsidRPr="001C678F" w:rsidRDefault="003B04B9" w:rsidP="00846E46">
            <w:pPr>
              <w:pStyle w:val="CM3"/>
              <w:spacing w:before="60" w:after="60"/>
              <w:rPr>
                <w:rStyle w:val="normaltextrun"/>
              </w:rPr>
            </w:pPr>
            <w:r>
              <w:t xml:space="preserve">Likumprojekta </w:t>
            </w:r>
            <w:r w:rsidR="00680FFE" w:rsidRPr="001C678F">
              <w:t xml:space="preserve">paredzētajā likuma </w:t>
            </w:r>
            <w:r w:rsidR="00680FFE">
              <w:rPr>
                <w:bdr w:val="none" w:sz="0" w:space="0" w:color="auto" w:frame="1"/>
              </w:rPr>
              <w:t xml:space="preserve">24. panta </w:t>
            </w:r>
            <w:r>
              <w:t xml:space="preserve">ceturtā daļa precizēta, </w:t>
            </w:r>
            <w:r w:rsidRPr="001C678F">
              <w:rPr>
                <w:bdr w:val="none" w:sz="0" w:space="0" w:color="auto" w:frame="1"/>
              </w:rPr>
              <w:t>svītro</w:t>
            </w:r>
            <w:r>
              <w:rPr>
                <w:bdr w:val="none" w:sz="0" w:space="0" w:color="auto" w:frame="1"/>
              </w:rPr>
              <w:t>jot</w:t>
            </w:r>
            <w:r w:rsidRPr="001C678F">
              <w:rPr>
                <w:bdr w:val="none" w:sz="0" w:space="0" w:color="auto" w:frame="1"/>
              </w:rPr>
              <w:t xml:space="preserve"> kompetenci admi</w:t>
            </w:r>
            <w:r w:rsidR="003B616E">
              <w:rPr>
                <w:bdr w:val="none" w:sz="0" w:space="0" w:color="auto" w:frame="1"/>
              </w:rPr>
              <w:t>nistratīvo pārkāpumu procesā VSIA</w:t>
            </w:r>
            <w:r w:rsidRPr="001C678F">
              <w:rPr>
                <w:bdr w:val="none" w:sz="0" w:space="0" w:color="auto" w:frame="1"/>
              </w:rPr>
              <w:t xml:space="preserve"> "Latvijas proves</w:t>
            </w:r>
            <w:r w:rsidR="00846E46">
              <w:rPr>
                <w:bdr w:val="none" w:sz="0" w:space="0" w:color="auto" w:frame="1"/>
              </w:rPr>
              <w:t xml:space="preserve"> birojs”.</w:t>
            </w:r>
          </w:p>
        </w:tc>
        <w:tc>
          <w:tcPr>
            <w:tcW w:w="3431" w:type="dxa"/>
          </w:tcPr>
          <w:p w14:paraId="344B7385" w14:textId="72A58283" w:rsidR="00680FFE" w:rsidRPr="001C678F" w:rsidRDefault="00680FFE" w:rsidP="00680FFE">
            <w:pPr>
              <w:pStyle w:val="BodyTextIndent"/>
              <w:ind w:right="57" w:firstLine="0"/>
              <w:jc w:val="left"/>
              <w:rPr>
                <w:rFonts w:eastAsia="Calibri"/>
                <w:b/>
                <w:lang w:eastAsia="en-US"/>
              </w:rPr>
            </w:pPr>
            <w:r>
              <w:rPr>
                <w:rFonts w:eastAsia="Calibri"/>
                <w:b/>
                <w:lang w:eastAsia="en-US"/>
              </w:rPr>
              <w:t>“</w:t>
            </w:r>
            <w:r w:rsidRPr="001C678F">
              <w:rPr>
                <w:rFonts w:eastAsia="Calibri"/>
                <w:b/>
                <w:lang w:eastAsia="en-US"/>
              </w:rPr>
              <w:t>24. pants. Kompetence administratīvo pārkāpumu procesā</w:t>
            </w:r>
          </w:p>
          <w:p w14:paraId="272938CC" w14:textId="598D5CBF" w:rsidR="00680FFE" w:rsidRPr="001C678F" w:rsidRDefault="00680FFE" w:rsidP="00680FFE">
            <w:pPr>
              <w:pStyle w:val="BodyTextIndent"/>
              <w:ind w:right="57" w:firstLine="0"/>
              <w:rPr>
                <w:rFonts w:eastAsia="Calibri"/>
                <w:lang w:eastAsia="en-US"/>
              </w:rPr>
            </w:pPr>
            <w:r w:rsidRPr="001C678F">
              <w:rPr>
                <w:rFonts w:eastAsia="Calibri"/>
                <w:lang w:eastAsia="en-US"/>
              </w:rPr>
              <w:t>(4) Administratīvā pārkāpuma procesu par šā likuma 19. panta septītajā daļā minētajiem pārkāpumiem dārgmetālu, dārgakmeņu un to izstrādājumu apritē veic Valsts ieņēmumu dienests.</w:t>
            </w:r>
            <w:r>
              <w:rPr>
                <w:rFonts w:eastAsia="Calibri"/>
                <w:lang w:eastAsia="en-US"/>
              </w:rPr>
              <w:t>”</w:t>
            </w:r>
          </w:p>
        </w:tc>
      </w:tr>
      <w:tr w:rsidR="006D564A" w:rsidRPr="006D564A" w14:paraId="2ADFCC24" w14:textId="77777777" w:rsidTr="00846E46">
        <w:tc>
          <w:tcPr>
            <w:tcW w:w="846" w:type="dxa"/>
          </w:tcPr>
          <w:p w14:paraId="160AD675" w14:textId="3CBB4AE9" w:rsidR="00DD7A3F" w:rsidRPr="006D564A" w:rsidRDefault="00DD7A3F" w:rsidP="00DD7A3F">
            <w:pPr>
              <w:pStyle w:val="naisf"/>
              <w:spacing w:before="0" w:after="0"/>
              <w:ind w:firstLine="0"/>
              <w:jc w:val="center"/>
            </w:pPr>
            <w:r w:rsidRPr="006D564A">
              <w:t>8.</w:t>
            </w:r>
          </w:p>
        </w:tc>
        <w:tc>
          <w:tcPr>
            <w:tcW w:w="2410" w:type="dxa"/>
          </w:tcPr>
          <w:p w14:paraId="38D1FE40" w14:textId="02ED2B8C" w:rsidR="00DD7A3F" w:rsidRPr="006D564A" w:rsidRDefault="00DD7A3F" w:rsidP="00846E46">
            <w:pPr>
              <w:jc w:val="both"/>
              <w:rPr>
                <w:bdr w:val="none" w:sz="0" w:space="0" w:color="auto" w:frame="1"/>
              </w:rPr>
            </w:pPr>
            <w:r w:rsidRPr="006D564A">
              <w:t xml:space="preserve">Likumprojekta paredzētajā likuma </w:t>
            </w:r>
            <w:r w:rsidRPr="006D564A">
              <w:rPr>
                <w:bdr w:val="none" w:sz="0" w:space="0" w:color="auto" w:frame="1"/>
              </w:rPr>
              <w:t xml:space="preserve">22. panta pirmā daļa: </w:t>
            </w:r>
          </w:p>
          <w:p w14:paraId="0DF76024" w14:textId="77777777" w:rsidR="00DD7A3F" w:rsidRPr="006D564A" w:rsidRDefault="00DD7A3F" w:rsidP="00DD7A3F">
            <w:pPr>
              <w:jc w:val="both"/>
            </w:pPr>
            <w:r w:rsidRPr="006D564A">
              <w:rPr>
                <w:b/>
                <w:bdr w:val="none" w:sz="0" w:space="0" w:color="auto" w:frame="1"/>
              </w:rPr>
              <w:t>“</w:t>
            </w:r>
            <w:r w:rsidRPr="006D564A">
              <w:rPr>
                <w:b/>
              </w:rPr>
              <w:t>22. pants.</w:t>
            </w:r>
            <w:r w:rsidRPr="006D564A">
              <w:t xml:space="preserve"> </w:t>
            </w:r>
            <w:r w:rsidRPr="006D564A">
              <w:rPr>
                <w:b/>
              </w:rPr>
              <w:t>Administratīvie pārkāpumi</w:t>
            </w:r>
            <w:r w:rsidRPr="006D564A" w:rsidDel="009A1188">
              <w:rPr>
                <w:b/>
              </w:rPr>
              <w:t xml:space="preserve"> </w:t>
            </w:r>
            <w:r w:rsidRPr="006D564A">
              <w:rPr>
                <w:b/>
              </w:rPr>
              <w:t>rūpniecisko avāriju riska novērtēšanas un riska samazināšanas pasākumu jomā</w:t>
            </w:r>
          </w:p>
          <w:p w14:paraId="662FF734" w14:textId="77777777" w:rsidR="00DD7A3F" w:rsidRPr="006D564A" w:rsidRDefault="00DD7A3F" w:rsidP="00DD7A3F">
            <w:pPr>
              <w:spacing w:before="120"/>
            </w:pPr>
            <w:r w:rsidRPr="006D564A">
              <w:t>(1) Par rūpniecisko avāriju bīstamības identifikācijas neveikšanu un iesnieguma par bīstamām vielām neiesniegšanu, par drošības pārskata (arī papildinātā vai pārstrādātā) vai rūpnieciskās avārijas novēršanas programmas (arī papildinātās vai pārstrādātās) neiesniegšanu, par informācijas par drošības un aizsardzības pasākumiem un rīcību rūpnieciskās avārijas gadījumā nesniegšanu sabiedrībai –</w:t>
            </w:r>
          </w:p>
          <w:p w14:paraId="6F32B5B7" w14:textId="72FE1855" w:rsidR="00DD7A3F" w:rsidRPr="006D564A" w:rsidRDefault="00DD7A3F" w:rsidP="00DD7A3F">
            <w:pPr>
              <w:spacing w:before="120"/>
              <w:jc w:val="both"/>
            </w:pPr>
            <w:r w:rsidRPr="006D564A">
              <w:t>piemēro naudas sodu fiziskajām personām no piecdesmit sešām līdz simt četrdesmit naudas soda vienībām, bet juridiskajām personām – no astoņdesmit sešām līdz piecsimt astoņdesmit naudas soda vienībām.</w:t>
            </w:r>
          </w:p>
        </w:tc>
        <w:tc>
          <w:tcPr>
            <w:tcW w:w="4110" w:type="dxa"/>
          </w:tcPr>
          <w:p w14:paraId="23B45863" w14:textId="61E57CAF" w:rsidR="00DD7A3F" w:rsidRDefault="00DD7A3F" w:rsidP="00760E6F">
            <w:pPr>
              <w:pStyle w:val="xmsonormal"/>
              <w:shd w:val="clear" w:color="auto" w:fill="FFFFFF"/>
              <w:spacing w:before="0" w:beforeAutospacing="0" w:after="0" w:afterAutospacing="0" w:line="253" w:lineRule="atLeast"/>
              <w:jc w:val="both"/>
              <w:rPr>
                <w:b/>
                <w:bCs/>
              </w:rPr>
            </w:pPr>
            <w:r w:rsidRPr="006D564A">
              <w:rPr>
                <w:b/>
                <w:bCs/>
              </w:rPr>
              <w:t>Tieslietu ministrijas 2020</w:t>
            </w:r>
            <w:r w:rsidR="00E06B4A">
              <w:rPr>
                <w:b/>
                <w:bCs/>
              </w:rPr>
              <w:t>. gada 20. janvāra saskaņošanas e-pasts</w:t>
            </w:r>
          </w:p>
          <w:p w14:paraId="0EDE5F08" w14:textId="77777777" w:rsidR="00005B63" w:rsidRPr="006D564A" w:rsidRDefault="00005B63" w:rsidP="00DD7A3F">
            <w:pPr>
              <w:pStyle w:val="xmsonormal"/>
              <w:shd w:val="clear" w:color="auto" w:fill="FFFFFF"/>
              <w:spacing w:before="0" w:beforeAutospacing="0" w:after="0" w:afterAutospacing="0" w:line="253" w:lineRule="atLeast"/>
              <w:rPr>
                <w:bdr w:val="none" w:sz="0" w:space="0" w:color="auto" w:frame="1"/>
              </w:rPr>
            </w:pPr>
          </w:p>
          <w:p w14:paraId="6141CF7F" w14:textId="77777777" w:rsidR="00DD7A3F" w:rsidRPr="006D564A" w:rsidRDefault="00DD7A3F" w:rsidP="00DD7A3F">
            <w:pPr>
              <w:contextualSpacing/>
              <w:jc w:val="both"/>
            </w:pPr>
            <w:r w:rsidRPr="006D564A">
              <w:t>Ievērojot, ka šobrīd Saeimā tiek skatīts Tieslietu ministrijas izstrādātais likumprojekts "Administratīvo sodu likums par pārkāpumiem pārvaldes, sabiedriskās kārtības un valsts valodas lietošanas jomā", kurā ir noteikta administratīvā atbildība par informācijas nesniegšanu, informācijas nepienācīgu sniegšanu vai nepatiesas informācijas sniegšanu iestādei (</w:t>
            </w:r>
            <w:hyperlink r:id="rId9" w:history="1">
              <w:r w:rsidRPr="006D564A">
                <w:rPr>
                  <w:rStyle w:val="Hyperlink"/>
                  <w:color w:val="auto"/>
                </w:rPr>
                <w:t>https://titan</w:t>
              </w:r>
              <w:bookmarkStart w:id="0" w:name="_GoBack"/>
              <w:bookmarkEnd w:id="0"/>
              <w:r w:rsidRPr="006D564A">
                <w:rPr>
                  <w:rStyle w:val="Hyperlink"/>
                  <w:color w:val="auto"/>
                </w:rPr>
                <w:t>ia.saeima.lv/LIVS13/saeimalivs13.nsf/webAll?SearchView&amp;Query=([NumberTxt]=342/Lp13)&amp;SearchMax=0&amp;SearchOrder=4</w:t>
              </w:r>
            </w:hyperlink>
            <w:r w:rsidRPr="006D564A">
              <w:t xml:space="preserve">), lūdzam no projektā paredzētās 22. panta pirmās daļas izslēgt vārdus </w:t>
            </w:r>
            <w:r w:rsidRPr="006D564A">
              <w:rPr>
                <w:i/>
                <w:iCs/>
              </w:rPr>
              <w:t>"par drošības pārskata (arī papildinātā vai pārstrādātā) vai rūpnieciskās avārijas novēršanas programmas (arī papildinātās vai pārstrādātās) neiesniegšanu".</w:t>
            </w:r>
            <w:r w:rsidRPr="006D564A">
              <w:t xml:space="preserve"> </w:t>
            </w:r>
          </w:p>
          <w:p w14:paraId="34C21B92" w14:textId="77777777" w:rsidR="00DD7A3F" w:rsidRPr="006D564A" w:rsidRDefault="00DD7A3F" w:rsidP="006D564A">
            <w:pPr>
              <w:contextualSpacing/>
              <w:jc w:val="both"/>
            </w:pPr>
            <w:r w:rsidRPr="006D564A">
              <w:t xml:space="preserve">Attiecīgi lūdzam precizēt arī anotāciju.  </w:t>
            </w:r>
          </w:p>
          <w:p w14:paraId="135534DC" w14:textId="3E963677" w:rsidR="00DD7A3F" w:rsidRPr="006D564A" w:rsidRDefault="00DD7A3F" w:rsidP="00DD7A3F">
            <w:pPr>
              <w:pStyle w:val="xmsonormal"/>
              <w:shd w:val="clear" w:color="auto" w:fill="FFFFFF"/>
              <w:spacing w:before="0" w:beforeAutospacing="0" w:after="0" w:afterAutospacing="0" w:line="253" w:lineRule="atLeast"/>
              <w:rPr>
                <w:bdr w:val="none" w:sz="0" w:space="0" w:color="auto" w:frame="1"/>
              </w:rPr>
            </w:pPr>
          </w:p>
        </w:tc>
        <w:tc>
          <w:tcPr>
            <w:tcW w:w="3799" w:type="dxa"/>
          </w:tcPr>
          <w:p w14:paraId="46D9A38E" w14:textId="77777777" w:rsidR="00DD7A3F" w:rsidRPr="006D564A" w:rsidRDefault="00DD7A3F" w:rsidP="00846E46">
            <w:pPr>
              <w:pStyle w:val="BodyText"/>
              <w:spacing w:after="0"/>
              <w:jc w:val="both"/>
              <w:rPr>
                <w:rStyle w:val="normaltextrun"/>
              </w:rPr>
            </w:pPr>
            <w:r w:rsidRPr="006D564A">
              <w:rPr>
                <w:rFonts w:eastAsia="Calibri"/>
                <w:b/>
                <w:bCs/>
                <w:lang w:eastAsia="en-US"/>
              </w:rPr>
              <w:t xml:space="preserve">Iebildums ņemts vērā. </w:t>
            </w:r>
          </w:p>
          <w:p w14:paraId="709BB68C" w14:textId="708615D3" w:rsidR="00DD7A3F" w:rsidRPr="006D564A" w:rsidRDefault="00DD7A3F" w:rsidP="00760E6F">
            <w:pPr>
              <w:pStyle w:val="CM3"/>
              <w:spacing w:before="60" w:after="60"/>
              <w:jc w:val="both"/>
              <w:rPr>
                <w:rStyle w:val="normaltextrun"/>
              </w:rPr>
            </w:pPr>
            <w:r w:rsidRPr="006D564A">
              <w:t xml:space="preserve">Likumprojekta paredzētajā likuma </w:t>
            </w:r>
            <w:r w:rsidR="00846E46">
              <w:rPr>
                <w:bdr w:val="none" w:sz="0" w:space="0" w:color="auto" w:frame="1"/>
              </w:rPr>
              <w:t>22. </w:t>
            </w:r>
            <w:r w:rsidRPr="006D564A">
              <w:rPr>
                <w:bdr w:val="none" w:sz="0" w:space="0" w:color="auto" w:frame="1"/>
              </w:rPr>
              <w:t xml:space="preserve">panta </w:t>
            </w:r>
            <w:r w:rsidRPr="006D564A">
              <w:t>pir</w:t>
            </w:r>
            <w:r w:rsidR="00846E46">
              <w:t>mā daļa un anotācija precizēta.</w:t>
            </w:r>
          </w:p>
        </w:tc>
        <w:tc>
          <w:tcPr>
            <w:tcW w:w="3431" w:type="dxa"/>
          </w:tcPr>
          <w:p w14:paraId="4E11DAD8" w14:textId="1A1C4548" w:rsidR="00DD7A3F" w:rsidRPr="006D564A" w:rsidRDefault="00DD7A3F" w:rsidP="00DD7A3F">
            <w:pPr>
              <w:jc w:val="both"/>
            </w:pPr>
            <w:r w:rsidRPr="006D564A">
              <w:rPr>
                <w:rFonts w:eastAsia="Calibri"/>
                <w:b/>
                <w:lang w:eastAsia="en-US"/>
              </w:rPr>
              <w:t>“</w:t>
            </w:r>
            <w:r w:rsidRPr="006D564A">
              <w:rPr>
                <w:b/>
              </w:rPr>
              <w:t>22. pants.</w:t>
            </w:r>
            <w:r w:rsidRPr="006D564A">
              <w:t xml:space="preserve"> </w:t>
            </w:r>
            <w:r w:rsidRPr="006D564A">
              <w:rPr>
                <w:b/>
              </w:rPr>
              <w:t>Administratīvie pārkāpumi</w:t>
            </w:r>
            <w:r w:rsidRPr="006D564A" w:rsidDel="009A1188">
              <w:rPr>
                <w:b/>
              </w:rPr>
              <w:t xml:space="preserve"> </w:t>
            </w:r>
            <w:r w:rsidRPr="006D564A">
              <w:rPr>
                <w:b/>
              </w:rPr>
              <w:t>rūpniecisko avāriju riska novērtēšanas un riska samazināšanas pasākumu jomā</w:t>
            </w:r>
          </w:p>
          <w:p w14:paraId="1E056C1C" w14:textId="39B79DAB" w:rsidR="00DD7A3F" w:rsidRPr="006D564A" w:rsidRDefault="00DD7A3F" w:rsidP="00846E46">
            <w:pPr>
              <w:spacing w:before="120"/>
              <w:jc w:val="both"/>
            </w:pPr>
            <w:r w:rsidRPr="006D564A">
              <w:t>(1) Par rūpniecisko avāriju bīstamības identifikācijas neveikšanu un iesnieguma par bīstamām vielām neiesniegšanu, par informācijas par drošības un aizsardzības pasākumiem un rīcību rūpnieciskās avārijas gadījumā nesniegšanu sabiedrībai –</w:t>
            </w:r>
          </w:p>
          <w:p w14:paraId="2766B94F" w14:textId="5907AE46" w:rsidR="00DD7A3F" w:rsidRPr="006D564A" w:rsidRDefault="00DD7A3F" w:rsidP="00846E46">
            <w:pPr>
              <w:pStyle w:val="BodyTextIndent"/>
              <w:ind w:right="57" w:firstLine="0"/>
              <w:rPr>
                <w:rFonts w:eastAsia="Calibri"/>
                <w:lang w:eastAsia="en-US"/>
              </w:rPr>
            </w:pPr>
            <w:r w:rsidRPr="006D564A">
              <w:rPr>
                <w:szCs w:val="24"/>
              </w:rPr>
              <w:t>piemēro naudas sodu fiziskajām personām no piecdesmit sešām līdz simt četrdesmit naudas soda vienībām, bet juridiskajām personām – no astoņdesmit sešām līdz piecsimt astoņdesmit naudas soda vienībām.”</w:t>
            </w:r>
          </w:p>
        </w:tc>
      </w:tr>
      <w:tr w:rsidR="00680FFE" w:rsidRPr="00371588" w14:paraId="60BFDBE1" w14:textId="77777777" w:rsidTr="65362092">
        <w:tc>
          <w:tcPr>
            <w:tcW w:w="846" w:type="dxa"/>
          </w:tcPr>
          <w:p w14:paraId="107EAAE5" w14:textId="7C620F7F" w:rsidR="00680FFE" w:rsidRPr="008E660F" w:rsidRDefault="00DD7A3F" w:rsidP="00680FFE">
            <w:pPr>
              <w:pStyle w:val="naisf"/>
              <w:spacing w:before="0" w:after="0"/>
              <w:ind w:firstLine="0"/>
              <w:jc w:val="center"/>
            </w:pPr>
            <w:r w:rsidRPr="006C29E1">
              <w:t>9</w:t>
            </w:r>
            <w:r w:rsidR="0012349D" w:rsidRPr="006C29E1">
              <w:t>.</w:t>
            </w:r>
          </w:p>
        </w:tc>
        <w:tc>
          <w:tcPr>
            <w:tcW w:w="2410" w:type="dxa"/>
          </w:tcPr>
          <w:p w14:paraId="0CDB8783" w14:textId="77777777" w:rsidR="00680FFE" w:rsidRPr="007B204E" w:rsidRDefault="00680FFE" w:rsidP="00680FFE">
            <w:pPr>
              <w:jc w:val="both"/>
            </w:pPr>
            <w:r w:rsidRPr="007B204E">
              <w:t>Likumprojekta 4. pantā (iepriekš 3. pantā) paredzētā likuma 19. panta septītā daļa:</w:t>
            </w:r>
          </w:p>
          <w:p w14:paraId="772303ED" w14:textId="77777777" w:rsidR="00680FFE" w:rsidRPr="007B204E" w:rsidRDefault="00680FFE" w:rsidP="006D564A">
            <w:pPr>
              <w:rPr>
                <w:b/>
                <w:szCs w:val="28"/>
              </w:rPr>
            </w:pPr>
            <w:r w:rsidRPr="007B204E">
              <w:rPr>
                <w:b/>
                <w:szCs w:val="28"/>
              </w:rPr>
              <w:t>“19. pants. Administratīvie pārkāpumi ķīmisko vielu, maisījumu, izstrādājumu, biocīdu un apstrādāto izstrādājumu jomā</w:t>
            </w:r>
          </w:p>
          <w:p w14:paraId="155AA2B9" w14:textId="77777777" w:rsidR="00680FFE" w:rsidRPr="007B204E" w:rsidRDefault="00680FFE" w:rsidP="00680FFE">
            <w:pPr>
              <w:spacing w:before="120"/>
              <w:jc w:val="both"/>
              <w:rPr>
                <w:szCs w:val="28"/>
              </w:rPr>
            </w:pPr>
            <w:r w:rsidRPr="007B204E">
              <w:rPr>
                <w:szCs w:val="28"/>
              </w:rPr>
              <w:t>(7) Par bīstamu ķīmisko vielu ražošanas, tirgū laišanas, piedāvāšanas vai pārdošanas ierobežojumu pārkāpšanu dārgmetālu, dārgakmeņu un to izstrādājumu apritē –</w:t>
            </w:r>
          </w:p>
          <w:p w14:paraId="51213DFE" w14:textId="77777777" w:rsidR="00680FFE" w:rsidRPr="007B204E" w:rsidRDefault="00680FFE" w:rsidP="00680FFE">
            <w:pPr>
              <w:spacing w:before="120"/>
              <w:jc w:val="both"/>
              <w:rPr>
                <w:szCs w:val="28"/>
              </w:rPr>
            </w:pPr>
            <w:r w:rsidRPr="007B204E">
              <w:rPr>
                <w:szCs w:val="28"/>
              </w:rPr>
              <w:t>piemēro naudas sodu fiziskajām personām no septiņām līdz simt četrdesmit naudas soda vienībām, bet juridiskajām personām – no piecdesmit sešām līdz divtūkstoš astoņsimt naudas soda vienībām.”</w:t>
            </w:r>
          </w:p>
          <w:p w14:paraId="666ECD7C" w14:textId="5CEA56EC" w:rsidR="00680FFE" w:rsidRPr="007B204E" w:rsidRDefault="00680FFE" w:rsidP="00680FFE">
            <w:pPr>
              <w:jc w:val="both"/>
            </w:pPr>
          </w:p>
        </w:tc>
        <w:tc>
          <w:tcPr>
            <w:tcW w:w="4110" w:type="dxa"/>
          </w:tcPr>
          <w:p w14:paraId="28D112A2" w14:textId="02856388" w:rsidR="00680FFE" w:rsidRDefault="00680FFE" w:rsidP="007C711E">
            <w:pPr>
              <w:jc w:val="both"/>
              <w:rPr>
                <w:b/>
                <w:bCs/>
              </w:rPr>
            </w:pPr>
            <w:r w:rsidRPr="007B204E">
              <w:rPr>
                <w:b/>
                <w:bCs/>
              </w:rPr>
              <w:t>Finanšu ministrijas 2019. gada 1. oktobra atzinums Nr. 12/A-7/4593</w:t>
            </w:r>
          </w:p>
          <w:p w14:paraId="03F06424" w14:textId="77777777" w:rsidR="00005B63" w:rsidRPr="007B204E" w:rsidRDefault="00005B63" w:rsidP="00680FFE">
            <w:pPr>
              <w:rPr>
                <w:b/>
                <w:bCs/>
              </w:rPr>
            </w:pPr>
          </w:p>
          <w:p w14:paraId="5644778F" w14:textId="77777777" w:rsidR="00680FFE" w:rsidRPr="007B204E" w:rsidRDefault="00680FFE" w:rsidP="00005B63">
            <w:pPr>
              <w:tabs>
                <w:tab w:val="left" w:pos="0"/>
                <w:tab w:val="left" w:pos="5529"/>
              </w:tabs>
              <w:jc w:val="both"/>
            </w:pPr>
            <w:r w:rsidRPr="007B204E">
              <w:t>1. Likumprojekts paredz atbildību par bīstamu ķīmisko vielu ražošanu, tirgū laišanu, piedāvāšanas vai pārdošanas ierobežojumu pārkāpšanu dārgmetālu, dārgakmeņu un to izstrādājumu apritē.</w:t>
            </w:r>
          </w:p>
          <w:p w14:paraId="524814DF" w14:textId="77777777" w:rsidR="00680FFE" w:rsidRPr="007B204E" w:rsidRDefault="00680FFE" w:rsidP="00005B63">
            <w:pPr>
              <w:tabs>
                <w:tab w:val="left" w:pos="0"/>
                <w:tab w:val="left" w:pos="5529"/>
              </w:tabs>
              <w:jc w:val="both"/>
            </w:pPr>
          </w:p>
          <w:p w14:paraId="1BAB8723" w14:textId="77777777" w:rsidR="00680FFE" w:rsidRPr="007B204E" w:rsidRDefault="00680FFE" w:rsidP="00005B63">
            <w:pPr>
              <w:tabs>
                <w:tab w:val="left" w:pos="0"/>
                <w:tab w:val="left" w:pos="5529"/>
              </w:tabs>
              <w:jc w:val="both"/>
            </w:pPr>
            <w:r w:rsidRPr="007B204E">
              <w:t>Atbilstoši vispārējām tiesību atziņām tiesību normai, par kuras pārkāpšanu ir paredzēts sods, ir jābūt pietiekami skaidrai, lai persona varētu izprast savus pienākumus un atbildību par to nepildīšanu. Piedāvātā normas redakcija pietiekami precīzi nenosaka darbību vai bezdarbību, par kurām personu var saukt pie administratīvās atbildības.</w:t>
            </w:r>
          </w:p>
          <w:p w14:paraId="1E6C098E" w14:textId="77777777" w:rsidR="00680FFE" w:rsidRPr="007B204E" w:rsidRDefault="00680FFE" w:rsidP="00005B63">
            <w:pPr>
              <w:tabs>
                <w:tab w:val="left" w:pos="0"/>
                <w:tab w:val="left" w:pos="5529"/>
              </w:tabs>
              <w:jc w:val="both"/>
            </w:pPr>
            <w:r w:rsidRPr="007B204E">
              <w:t>Vēršam uzmanību, ka nevienā normatīvā aktā nav noteikts, ka par “tirgū laišanu” atbildīgā institūcija ir VID. Kā arī, VID kompetencē esošajos normatīvajos aktos VID nav deleģēts pienākums kontrolēt</w:t>
            </w:r>
            <w:proofErr w:type="gramStart"/>
            <w:r w:rsidRPr="007B204E">
              <w:t xml:space="preserve">  </w:t>
            </w:r>
            <w:proofErr w:type="gramEnd"/>
            <w:r w:rsidRPr="007B204E">
              <w:t xml:space="preserve">bīstamu ķīmisko vielu ražošanu, piedāvāšanu vai pārdošanas ierobežojumu pārkāpšanu dārgmetāliem, dārgakmeņu un to izstrādājumu apriti. </w:t>
            </w:r>
          </w:p>
          <w:p w14:paraId="31B75D23" w14:textId="77777777" w:rsidR="00680FFE" w:rsidRPr="007B204E" w:rsidRDefault="00680FFE" w:rsidP="00005B63">
            <w:pPr>
              <w:tabs>
                <w:tab w:val="left" w:pos="0"/>
                <w:tab w:val="left" w:pos="5529"/>
              </w:tabs>
              <w:jc w:val="both"/>
            </w:pPr>
            <w:r w:rsidRPr="007B204E">
              <w:t xml:space="preserve">Likumprojektā “Grozījumi Muitas likumā” </w:t>
            </w:r>
            <w:proofErr w:type="gramStart"/>
            <w:r w:rsidRPr="007B204E">
              <w:t>29.panta</w:t>
            </w:r>
            <w:proofErr w:type="gramEnd"/>
            <w:r w:rsidRPr="007B204E">
              <w:t xml:space="preserve"> piecpadsmitajā daļā tiks paredzēta administratīvā atbildība, par tādu preču, kurām noteikti aizliegumi un ierobežojumi, vai par viltotu vai pirātisku preču deklarēšanu muitas procedūrai “laišana brīvā apgrozībā” deklarētājam – fiziskai personai – piemēros brīdinājumu vai naudas sodu līdz četrsimt naudas soda vienībām, bet deklarētājam – juridiskai personai – piemēros brīdinājumu vai naudas sodu līdz astoņsimt naudas soda vienībām.</w:t>
            </w:r>
          </w:p>
          <w:p w14:paraId="627CC54E" w14:textId="77777777" w:rsidR="00680FFE" w:rsidRPr="007B204E" w:rsidRDefault="00680FFE" w:rsidP="00005B63">
            <w:pPr>
              <w:tabs>
                <w:tab w:val="left" w:pos="0"/>
                <w:tab w:val="left" w:pos="5529"/>
              </w:tabs>
              <w:jc w:val="both"/>
            </w:pPr>
            <w:r w:rsidRPr="007B204E">
              <w:t xml:space="preserve">Ministru kabineta </w:t>
            </w:r>
            <w:proofErr w:type="gramStart"/>
            <w:r w:rsidRPr="007B204E">
              <w:t>2009.gada</w:t>
            </w:r>
            <w:proofErr w:type="gramEnd"/>
            <w:r w:rsidRPr="007B204E">
              <w:t xml:space="preserve"> 3.februāra noteikumu Nr.108 “Normatīvo aktu projektu sagatavošanas noteikumi” 3.2.apakšpunkts nosaka, ka normatīvā akta projektā neietver normas, kas dublē augstāka vai tāda paša spēka normatīvā akta tiesību normās ietverto normatīvo regulējumu. </w:t>
            </w:r>
          </w:p>
          <w:p w14:paraId="4CD87841" w14:textId="5A4025C8" w:rsidR="00680FFE" w:rsidRPr="007B204E" w:rsidRDefault="00680FFE" w:rsidP="00005B63">
            <w:pPr>
              <w:tabs>
                <w:tab w:val="left" w:pos="0"/>
                <w:tab w:val="left" w:pos="5529"/>
              </w:tabs>
              <w:jc w:val="both"/>
            </w:pPr>
            <w:r w:rsidRPr="007B204E">
              <w:t xml:space="preserve">Lai izvērtētu Likumprojektā paredzēto atbildību pārkāpumu turpmāko saglabāšanu administratīvo pārkāpumu sistēmā, ir nepieciešams izvērtēt nodarījuma bīstamību, sabiedrisko kaitīgumu, nodarījuma sekas, nodarījuma aktualitāti un nodarījuma attiecināmību uz publiski tiesiskajām attiecībām. </w:t>
            </w:r>
          </w:p>
          <w:p w14:paraId="43CDF406" w14:textId="75F761C9" w:rsidR="00680FFE" w:rsidRPr="007B204E" w:rsidRDefault="00680FFE" w:rsidP="00005B63">
            <w:pPr>
              <w:tabs>
                <w:tab w:val="left" w:pos="0"/>
                <w:tab w:val="left" w:pos="5529"/>
              </w:tabs>
              <w:jc w:val="both"/>
            </w:pPr>
            <w:r w:rsidRPr="007B204E">
              <w:t xml:space="preserve">Ņemot vērā minēto, kā arī faktu, ka laika posmā no </w:t>
            </w:r>
            <w:proofErr w:type="gramStart"/>
            <w:r w:rsidRPr="007B204E">
              <w:t>2017.gada</w:t>
            </w:r>
            <w:proofErr w:type="gramEnd"/>
            <w:r w:rsidRPr="007B204E">
              <w:t xml:space="preserve"> 1.janvāra līdz 2019.gada 25.septembrim ir pieņemti 3 lēmumi administratīvo pārkāpumu lietās, VID neatbalsta grozījumus  Likumprojekta 19.panta septītajā daļā un lūdz svītrot minēto tiesību normu.</w:t>
            </w:r>
          </w:p>
        </w:tc>
        <w:tc>
          <w:tcPr>
            <w:tcW w:w="3799" w:type="dxa"/>
          </w:tcPr>
          <w:p w14:paraId="2E6F6105" w14:textId="185A0BDE" w:rsidR="00B52FAB" w:rsidRPr="00B52FAB" w:rsidRDefault="00680FFE" w:rsidP="00B52FAB">
            <w:pPr>
              <w:jc w:val="both"/>
              <w:rPr>
                <w:color w:val="000000" w:themeColor="text1"/>
              </w:rPr>
            </w:pPr>
            <w:r w:rsidRPr="007B204E">
              <w:rPr>
                <w:rFonts w:eastAsia="Calibri"/>
                <w:b/>
                <w:bCs/>
                <w:lang w:eastAsia="en-US"/>
              </w:rPr>
              <w:t xml:space="preserve">Iebildums saskaņots elektroniskajā </w:t>
            </w:r>
            <w:r w:rsidRPr="00B52FAB">
              <w:rPr>
                <w:rFonts w:eastAsia="Calibri"/>
                <w:b/>
                <w:bCs/>
                <w:color w:val="000000" w:themeColor="text1"/>
                <w:lang w:eastAsia="en-US"/>
              </w:rPr>
              <w:t>saskaņošanā</w:t>
            </w:r>
            <w:r w:rsidR="00B52FAB" w:rsidRPr="00B52FAB">
              <w:rPr>
                <w:rFonts w:eastAsia="Calibri"/>
                <w:b/>
                <w:bCs/>
                <w:color w:val="000000" w:themeColor="text1"/>
                <w:lang w:eastAsia="en-US"/>
              </w:rPr>
              <w:t xml:space="preserve"> (</w:t>
            </w:r>
            <w:r w:rsidR="00B52FAB" w:rsidRPr="00B52FAB">
              <w:rPr>
                <w:b/>
                <w:bCs/>
                <w:color w:val="000000" w:themeColor="text1"/>
              </w:rPr>
              <w:t>Finanšu ministrijas 2020.</w:t>
            </w:r>
            <w:r w:rsidR="00846E46">
              <w:rPr>
                <w:b/>
                <w:bCs/>
                <w:color w:val="000000" w:themeColor="text1"/>
              </w:rPr>
              <w:t> gada 6. janvāra e-pasts</w:t>
            </w:r>
            <w:r w:rsidR="00B52FAB" w:rsidRPr="00B52FAB">
              <w:rPr>
                <w:b/>
                <w:bCs/>
                <w:color w:val="000000" w:themeColor="text1"/>
              </w:rPr>
              <w:t xml:space="preserve">) </w:t>
            </w:r>
          </w:p>
          <w:p w14:paraId="1F65B683" w14:textId="77777777" w:rsidR="00680FFE" w:rsidRPr="007B204E" w:rsidRDefault="00680FFE" w:rsidP="00680FFE">
            <w:pPr>
              <w:jc w:val="both"/>
              <w:rPr>
                <w:rStyle w:val="normaltextrun"/>
              </w:rPr>
            </w:pPr>
          </w:p>
          <w:p w14:paraId="45EAA4A8" w14:textId="16CCE49E" w:rsidR="00680FFE" w:rsidRDefault="00680FFE" w:rsidP="00680FFE">
            <w:pPr>
              <w:jc w:val="both"/>
              <w:rPr>
                <w:rStyle w:val="normaltextrun"/>
              </w:rPr>
            </w:pPr>
            <w:r w:rsidRPr="00887CCD">
              <w:rPr>
                <w:rStyle w:val="normaltextrun"/>
              </w:rPr>
              <w:t>Jāatzīmē, ka Finanšu ministrija ar savu 2016.</w:t>
            </w:r>
            <w:r>
              <w:rPr>
                <w:rStyle w:val="normaltextrun"/>
              </w:rPr>
              <w:t> </w:t>
            </w:r>
            <w:r w:rsidRPr="00887CCD">
              <w:rPr>
                <w:rStyle w:val="normaltextrun"/>
              </w:rPr>
              <w:t>gada 31.</w:t>
            </w:r>
            <w:r w:rsidR="006D564A">
              <w:rPr>
                <w:rStyle w:val="normaltextrun"/>
              </w:rPr>
              <w:t> </w:t>
            </w:r>
            <w:r w:rsidRPr="00887CCD">
              <w:rPr>
                <w:rStyle w:val="normaltextrun"/>
              </w:rPr>
              <w:t>augusta vēstuli Nr.20-01/4683 ir</w:t>
            </w:r>
            <w:proofErr w:type="gramStart"/>
            <w:r w:rsidRPr="00887CCD">
              <w:rPr>
                <w:rStyle w:val="normaltextrun"/>
              </w:rPr>
              <w:t xml:space="preserve"> iesniegusi sankcijas redakciju attiecībās</w:t>
            </w:r>
            <w:proofErr w:type="gramEnd"/>
            <w:r w:rsidRPr="00887CCD">
              <w:rPr>
                <w:rStyle w:val="normaltextrun"/>
              </w:rPr>
              <w:t xml:space="preserve"> dārgmetālu, dārgakmeņu un to izstrādājumu apriti, kas arī attiecīgi ir iestrādāts likumprojektā “Grozījumi Ķ</w:t>
            </w:r>
            <w:r>
              <w:rPr>
                <w:rStyle w:val="normaltextrun"/>
              </w:rPr>
              <w:t>ī</w:t>
            </w:r>
            <w:r w:rsidRPr="00887CCD">
              <w:rPr>
                <w:rStyle w:val="normaltextrun"/>
              </w:rPr>
              <w:t>misko</w:t>
            </w:r>
            <w:r>
              <w:rPr>
                <w:rStyle w:val="normaltextrun"/>
              </w:rPr>
              <w:t xml:space="preserve"> </w:t>
            </w:r>
            <w:r w:rsidRPr="00887CCD">
              <w:rPr>
                <w:rStyle w:val="normaltextrun"/>
              </w:rPr>
              <w:t>vielu likumā”.</w:t>
            </w:r>
          </w:p>
          <w:p w14:paraId="22734778" w14:textId="1C1788DF" w:rsidR="00680FFE" w:rsidRDefault="00680FFE" w:rsidP="00680FFE">
            <w:pPr>
              <w:jc w:val="both"/>
              <w:rPr>
                <w:rStyle w:val="normaltextrun"/>
              </w:rPr>
            </w:pPr>
            <w:r w:rsidRPr="007B204E">
              <w:rPr>
                <w:rStyle w:val="normaltextrun"/>
              </w:rPr>
              <w:t>Ķīmisko vielu likuma 4. panta 6</w:t>
            </w:r>
            <w:r w:rsidRPr="007B204E">
              <w:rPr>
                <w:rStyle w:val="normaltextrun"/>
                <w:vertAlign w:val="superscript"/>
              </w:rPr>
              <w:t>3 </w:t>
            </w:r>
            <w:r w:rsidRPr="007B204E">
              <w:rPr>
                <w:rStyle w:val="normaltextrun"/>
              </w:rPr>
              <w:t>daļa nosaka, ka divas institūcijas - Valsts ieņēmumu dienests un valsts sabiedrība ar ierobežotu atbildību “Latvijas proves birojs” (</w:t>
            </w:r>
            <w:proofErr w:type="gramStart"/>
            <w:r w:rsidRPr="007B204E">
              <w:rPr>
                <w:rStyle w:val="normaltextrun"/>
              </w:rPr>
              <w:t>turpmāk –L</w:t>
            </w:r>
            <w:proofErr w:type="gramEnd"/>
            <w:r w:rsidRPr="007B204E">
              <w:rPr>
                <w:rStyle w:val="normaltextrun"/>
              </w:rPr>
              <w:t xml:space="preserve">atvijas proves birojs) īsteno dārgmetālu, dārgakmeņu un to izstrādājumu kontroli. </w:t>
            </w:r>
          </w:p>
          <w:p w14:paraId="4DEA9F37" w14:textId="77777777" w:rsidR="00680FFE" w:rsidRPr="007B204E" w:rsidRDefault="00680FFE" w:rsidP="00680FFE">
            <w:pPr>
              <w:jc w:val="both"/>
              <w:rPr>
                <w:rStyle w:val="normaltextrun"/>
              </w:rPr>
            </w:pPr>
          </w:p>
          <w:p w14:paraId="2538F392" w14:textId="3A5B4E9E" w:rsidR="00680FFE" w:rsidRPr="007B204E" w:rsidRDefault="00846E46" w:rsidP="00680FFE">
            <w:pPr>
              <w:jc w:val="both"/>
              <w:rPr>
                <w:rStyle w:val="normaltextrun"/>
              </w:rPr>
            </w:pPr>
            <w:r>
              <w:rPr>
                <w:rStyle w:val="normaltextrun"/>
              </w:rPr>
              <w:t>Ķīmisko vielu likuma 4. </w:t>
            </w:r>
            <w:r w:rsidR="00680FFE" w:rsidRPr="007B204E">
              <w:rPr>
                <w:rStyle w:val="normaltextrun"/>
              </w:rPr>
              <w:t>panta 6</w:t>
            </w:r>
            <w:r w:rsidR="00680FFE" w:rsidRPr="007B204E">
              <w:rPr>
                <w:rStyle w:val="normaltextrun"/>
                <w:vertAlign w:val="superscript"/>
              </w:rPr>
              <w:t>3</w:t>
            </w:r>
            <w:r>
              <w:rPr>
                <w:rStyle w:val="normaltextrun"/>
              </w:rPr>
              <w:t> daļas 1. </w:t>
            </w:r>
            <w:r w:rsidR="00680FFE" w:rsidRPr="007B204E">
              <w:rPr>
                <w:rStyle w:val="normaltextrun"/>
              </w:rPr>
              <w:t>apakšpunktā norādīts, ka Latvijas proves birojs veic pārbaudes vietās, kur notiek saimnieciskā darbība ar dārgmetālu, dārgakmeņu un to izstrādājumiem, un saskaņā ar Ķīmisko vielu likuma 4. panta 6</w:t>
            </w:r>
            <w:r w:rsidR="00680FFE" w:rsidRPr="007B204E">
              <w:rPr>
                <w:rStyle w:val="normaltextrun"/>
                <w:vertAlign w:val="superscript"/>
              </w:rPr>
              <w:t>3</w:t>
            </w:r>
            <w:r>
              <w:rPr>
                <w:rStyle w:val="normaltextrun"/>
              </w:rPr>
              <w:t> daļas 2. </w:t>
            </w:r>
            <w:r w:rsidR="00680FFE" w:rsidRPr="007B204E">
              <w:rPr>
                <w:rStyle w:val="normaltextrun"/>
              </w:rPr>
              <w:t xml:space="preserve">apakšpunktu nosūta materiālus par veikto pārbaudi Valsts ieņēmumu dienestam administratīvā akta izdošanai, jo Latvijas proves birojs nav tiesīgs pieņemt lēmumus par administratīvā akta izdošanu. </w:t>
            </w:r>
          </w:p>
          <w:p w14:paraId="5E321335" w14:textId="77777777" w:rsidR="00680FFE" w:rsidRPr="007B204E" w:rsidRDefault="00680FFE" w:rsidP="00680FFE">
            <w:pPr>
              <w:jc w:val="both"/>
              <w:rPr>
                <w:rStyle w:val="normaltextrun"/>
              </w:rPr>
            </w:pPr>
          </w:p>
          <w:p w14:paraId="4F176C2F" w14:textId="0BC4C7F6" w:rsidR="00680FFE" w:rsidRPr="007B204E" w:rsidRDefault="00680FFE" w:rsidP="00680FFE">
            <w:pPr>
              <w:jc w:val="both"/>
              <w:rPr>
                <w:rStyle w:val="normaltextrun"/>
              </w:rPr>
            </w:pPr>
            <w:r w:rsidRPr="007B204E">
              <w:rPr>
                <w:rStyle w:val="normaltextrun"/>
              </w:rPr>
              <w:t xml:space="preserve">Valsts ieņēmuma dienesta sniegtā informācija par pieņemtajiem lēmumiem noteiktajā laika periodā, norāda, ka Latvijas proves birojs konstatē normatīvo aktu pārkāpumus īstenojot dārgmetālu, dārgakmeņu un to izstrādājumu kontroli, par kuriem faktiski tiek piemēroti Latvijas Administratīvo pārkāpumu kodeksā noteiktie administratīvie sodi, līdz ar to nav pamata svītrot </w:t>
            </w:r>
            <w:r w:rsidRPr="007B204E">
              <w:t xml:space="preserve">Likumprojekta 3. pantā paredzētā likuma 19. panta </w:t>
            </w:r>
            <w:proofErr w:type="gramStart"/>
            <w:r w:rsidRPr="007B204E">
              <w:t>septītā daļu</w:t>
            </w:r>
            <w:proofErr w:type="gramEnd"/>
            <w:r w:rsidRPr="007B204E">
              <w:rPr>
                <w:rStyle w:val="normaltextrun"/>
              </w:rPr>
              <w:t xml:space="preserve">. </w:t>
            </w:r>
          </w:p>
        </w:tc>
        <w:tc>
          <w:tcPr>
            <w:tcW w:w="3431" w:type="dxa"/>
          </w:tcPr>
          <w:p w14:paraId="1821102B" w14:textId="77777777" w:rsidR="00680FFE" w:rsidRPr="007B204E" w:rsidRDefault="00680FFE" w:rsidP="00680FFE">
            <w:pPr>
              <w:jc w:val="both"/>
              <w:rPr>
                <w:b/>
                <w:szCs w:val="28"/>
              </w:rPr>
            </w:pPr>
            <w:r w:rsidRPr="007B204E">
              <w:rPr>
                <w:b/>
                <w:szCs w:val="28"/>
              </w:rPr>
              <w:t>“19. pants. Administratīvie pārkāpumi ķīmisko vielu, maisījumu, izstrādājumu, biocīdu un apstrādāto izstrādājumu jomā</w:t>
            </w:r>
          </w:p>
          <w:p w14:paraId="477609DA" w14:textId="77777777" w:rsidR="00680FFE" w:rsidRPr="007B204E" w:rsidRDefault="00680FFE" w:rsidP="00680FFE">
            <w:pPr>
              <w:spacing w:before="120"/>
              <w:jc w:val="both"/>
              <w:rPr>
                <w:szCs w:val="28"/>
              </w:rPr>
            </w:pPr>
            <w:r w:rsidRPr="007B204E">
              <w:rPr>
                <w:szCs w:val="28"/>
              </w:rPr>
              <w:t>(7) Par bīstamu ķīmisko vielu ražošanas, tirgū laišanas, piedāvāšanas vai pārdošanas ierobežojumu pārkāpšanu dārgmetālu, dārgakmeņu un to izstrādājumu apritē –</w:t>
            </w:r>
          </w:p>
          <w:p w14:paraId="1664CDEF" w14:textId="77777777" w:rsidR="00680FFE" w:rsidRPr="007B204E" w:rsidRDefault="00680FFE" w:rsidP="00680FFE">
            <w:pPr>
              <w:spacing w:before="120"/>
              <w:jc w:val="both"/>
              <w:rPr>
                <w:szCs w:val="28"/>
              </w:rPr>
            </w:pPr>
            <w:r w:rsidRPr="007B204E">
              <w:rPr>
                <w:szCs w:val="28"/>
              </w:rPr>
              <w:t>piemēro naudas sodu fiziskajām personām no septiņām līdz simt četrdesmit naudas soda vienībām, bet juridiskajām personām – no piecdesmit sešām līdz divtūkstoš astoņsimt naudas soda vienībām.”</w:t>
            </w:r>
          </w:p>
          <w:p w14:paraId="56640165" w14:textId="77777777" w:rsidR="00680FFE" w:rsidRDefault="00680FFE" w:rsidP="00680FFE">
            <w:pPr>
              <w:pStyle w:val="BodyTextIndent"/>
              <w:ind w:right="57" w:firstLine="0"/>
              <w:rPr>
                <w:rFonts w:eastAsia="Calibri"/>
                <w:lang w:eastAsia="en-US"/>
              </w:rPr>
            </w:pPr>
          </w:p>
          <w:p w14:paraId="509E3764" w14:textId="777F5A3F" w:rsidR="00680FFE" w:rsidRPr="007B204E" w:rsidRDefault="00680FFE" w:rsidP="00680FFE">
            <w:pPr>
              <w:pStyle w:val="BodyTextIndent"/>
              <w:ind w:right="57" w:firstLine="0"/>
              <w:rPr>
                <w:rFonts w:eastAsia="Calibri"/>
                <w:lang w:eastAsia="en-US"/>
              </w:rPr>
            </w:pPr>
          </w:p>
        </w:tc>
      </w:tr>
      <w:tr w:rsidR="00F823E5" w:rsidRPr="00371588" w14:paraId="286FBB89" w14:textId="77777777" w:rsidTr="65362092">
        <w:tc>
          <w:tcPr>
            <w:tcW w:w="846" w:type="dxa"/>
          </w:tcPr>
          <w:p w14:paraId="3B633DCD" w14:textId="3E086E09" w:rsidR="00F823E5" w:rsidRPr="008E660F" w:rsidRDefault="00DD7A3F" w:rsidP="00DD7A3F">
            <w:pPr>
              <w:pStyle w:val="naisf"/>
              <w:spacing w:before="0" w:after="0"/>
              <w:ind w:firstLine="0"/>
              <w:jc w:val="center"/>
            </w:pPr>
            <w:r>
              <w:t>10</w:t>
            </w:r>
            <w:r w:rsidR="0012349D" w:rsidRPr="008E660F">
              <w:t>.</w:t>
            </w:r>
          </w:p>
        </w:tc>
        <w:tc>
          <w:tcPr>
            <w:tcW w:w="2410" w:type="dxa"/>
          </w:tcPr>
          <w:p w14:paraId="2DF9832A" w14:textId="77777777" w:rsidR="00F823E5" w:rsidRPr="00B7329D" w:rsidRDefault="00F823E5" w:rsidP="00680FFE">
            <w:pPr>
              <w:jc w:val="both"/>
            </w:pPr>
            <w:r w:rsidRPr="00B7329D">
              <w:t>Likumprojekta 4. panta (iepriekš 3. pantā) paredzētā likuma 23. panta piektā daļa:</w:t>
            </w:r>
          </w:p>
          <w:p w14:paraId="38C9F3B2" w14:textId="77777777" w:rsidR="00F823E5" w:rsidRPr="00B7329D" w:rsidRDefault="00F823E5" w:rsidP="00680FFE">
            <w:pPr>
              <w:jc w:val="both"/>
              <w:rPr>
                <w:b/>
                <w:color w:val="FF0000"/>
              </w:rPr>
            </w:pPr>
            <w:r w:rsidRPr="00B7329D">
              <w:rPr>
                <w:sz w:val="28"/>
              </w:rPr>
              <w:t>“</w:t>
            </w:r>
            <w:r w:rsidRPr="00B7329D">
              <w:rPr>
                <w:b/>
              </w:rPr>
              <w:t>23. pants.</w:t>
            </w:r>
            <w:r w:rsidRPr="00B7329D">
              <w:t xml:space="preserve"> </w:t>
            </w:r>
            <w:r w:rsidRPr="00B7329D">
              <w:rPr>
                <w:b/>
              </w:rPr>
              <w:t xml:space="preserve">Administratīvie pārkāpumi ozona slāni noārdošo vielu un </w:t>
            </w:r>
            <w:proofErr w:type="spellStart"/>
            <w:r w:rsidRPr="00B7329D">
              <w:rPr>
                <w:b/>
              </w:rPr>
              <w:t>fluorēto</w:t>
            </w:r>
            <w:proofErr w:type="spellEnd"/>
            <w:r w:rsidRPr="00B7329D">
              <w:rPr>
                <w:b/>
              </w:rPr>
              <w:t xml:space="preserve"> siltumnīcefekta gāzu jomā</w:t>
            </w:r>
          </w:p>
          <w:p w14:paraId="3696BBE5" w14:textId="258FEFDB" w:rsidR="00F823E5" w:rsidRPr="00B7329D" w:rsidRDefault="00F823E5" w:rsidP="00680FFE">
            <w:pPr>
              <w:spacing w:before="120"/>
              <w:jc w:val="both"/>
            </w:pPr>
            <w:r w:rsidRPr="00B7329D">
              <w:t xml:space="preserve">(5) Par neatļautu ozona slāni noārdošo vielu vai </w:t>
            </w:r>
            <w:proofErr w:type="spellStart"/>
            <w:r w:rsidRPr="00B7329D">
              <w:t>fluorēto</w:t>
            </w:r>
            <w:proofErr w:type="spellEnd"/>
            <w:r w:rsidRPr="00B7329D">
              <w:t xml:space="preserve"> siltumnīcefekta gāzu ievešanu (importu) –</w:t>
            </w:r>
          </w:p>
          <w:p w14:paraId="4FB31DED" w14:textId="77777777" w:rsidR="00F823E5" w:rsidRPr="00B7329D" w:rsidRDefault="00F823E5" w:rsidP="00680FFE">
            <w:pPr>
              <w:spacing w:before="120"/>
              <w:ind w:firstLine="709"/>
              <w:jc w:val="both"/>
            </w:pPr>
            <w:r w:rsidRPr="00B7329D">
              <w:t>piemēro naudas sodu fiziskajām personām līdz divsimt astoņdesmit naudas soda vienībām, bet juridiskajām personām – līdz divtūkstoš astoņsimt naudas soda vienībām.”</w:t>
            </w:r>
          </w:p>
          <w:p w14:paraId="34D61DBA" w14:textId="77777777" w:rsidR="00F823E5" w:rsidRPr="00B7329D" w:rsidRDefault="00F823E5" w:rsidP="00680FFE">
            <w:pPr>
              <w:spacing w:before="120"/>
              <w:ind w:firstLine="709"/>
              <w:jc w:val="both"/>
            </w:pPr>
          </w:p>
          <w:p w14:paraId="679AB31C" w14:textId="74342D7C" w:rsidR="00F823E5" w:rsidRPr="00B7329D" w:rsidRDefault="00F823E5" w:rsidP="00680FFE">
            <w:pPr>
              <w:jc w:val="both"/>
            </w:pPr>
            <w:r w:rsidRPr="00B7329D">
              <w:t>Likumprojekta 4. panta (iepriekš 3. pantā) paredzētā likuma 24. panta ceturtā daļa:</w:t>
            </w:r>
          </w:p>
          <w:p w14:paraId="4947CC56" w14:textId="270EBFD5" w:rsidR="00F823E5" w:rsidRPr="00B7329D" w:rsidRDefault="00F823E5" w:rsidP="00680FFE">
            <w:pPr>
              <w:jc w:val="both"/>
              <w:rPr>
                <w:strike/>
              </w:rPr>
            </w:pPr>
            <w:r w:rsidRPr="00B7329D">
              <w:rPr>
                <w:b/>
              </w:rPr>
              <w:t>“24. pants. Kompetence administratīvo pārkāpumu procesā</w:t>
            </w:r>
            <w:r w:rsidRPr="00B7329D">
              <w:t xml:space="preserve"> (4) Administratīvo pārkāpumu procesu par šā likuma 19. panta septītajā daļā un 23. panta piektajā daļā minētajiem pārkāpumiem attiecībā uz bīstamo vielu aprites ierobežojumu neievērošanu un kontrolējamo vielu ievešanu (importu) veic Valsts ieņēmumu dienests.”</w:t>
            </w:r>
          </w:p>
          <w:p w14:paraId="6946AD00" w14:textId="5829BA99" w:rsidR="00F823E5" w:rsidRPr="00B7329D" w:rsidRDefault="00F823E5" w:rsidP="00680FFE">
            <w:pPr>
              <w:jc w:val="both"/>
            </w:pPr>
          </w:p>
        </w:tc>
        <w:tc>
          <w:tcPr>
            <w:tcW w:w="4110" w:type="dxa"/>
          </w:tcPr>
          <w:p w14:paraId="0E7B6582" w14:textId="77777777" w:rsidR="00F823E5" w:rsidRPr="00B7329D" w:rsidRDefault="00F823E5" w:rsidP="007C711E">
            <w:pPr>
              <w:tabs>
                <w:tab w:val="left" w:pos="0"/>
                <w:tab w:val="left" w:pos="5529"/>
              </w:tabs>
              <w:jc w:val="both"/>
              <w:rPr>
                <w:b/>
                <w:bCs/>
              </w:rPr>
            </w:pPr>
            <w:r w:rsidRPr="00B7329D">
              <w:rPr>
                <w:b/>
                <w:bCs/>
              </w:rPr>
              <w:t>Finanšu ministrijas 2019. gada 1. oktobra atzinums Nr. 12/A-7/4593</w:t>
            </w:r>
          </w:p>
          <w:p w14:paraId="128132A6" w14:textId="77777777" w:rsidR="00F823E5" w:rsidRPr="00B7329D" w:rsidRDefault="00F823E5" w:rsidP="00680FFE">
            <w:pPr>
              <w:tabs>
                <w:tab w:val="left" w:pos="0"/>
                <w:tab w:val="left" w:pos="5529"/>
              </w:tabs>
              <w:rPr>
                <w:b/>
                <w:bCs/>
              </w:rPr>
            </w:pPr>
          </w:p>
          <w:p w14:paraId="18673D79" w14:textId="2EF1EF97" w:rsidR="00F823E5" w:rsidRPr="00B7329D" w:rsidRDefault="00F823E5" w:rsidP="00005B63">
            <w:pPr>
              <w:tabs>
                <w:tab w:val="left" w:pos="0"/>
                <w:tab w:val="left" w:pos="5529"/>
              </w:tabs>
              <w:jc w:val="both"/>
            </w:pPr>
            <w:r w:rsidRPr="00B7329D">
              <w:t xml:space="preserve">2. Likumprojekts paredz atbildību par neatļautu ozona slāni noārdošo vielu vai </w:t>
            </w:r>
            <w:proofErr w:type="spellStart"/>
            <w:r w:rsidRPr="00B7329D">
              <w:t>fluorēto</w:t>
            </w:r>
            <w:proofErr w:type="spellEnd"/>
            <w:r w:rsidRPr="00B7329D">
              <w:t xml:space="preserve"> siltumnīcefekta gāzu ievešanu (importu).</w:t>
            </w:r>
          </w:p>
          <w:p w14:paraId="0180C607" w14:textId="77777777" w:rsidR="00F823E5" w:rsidRPr="00B7329D" w:rsidRDefault="00F823E5" w:rsidP="00005B63">
            <w:pPr>
              <w:tabs>
                <w:tab w:val="left" w:pos="0"/>
                <w:tab w:val="left" w:pos="5529"/>
              </w:tabs>
              <w:jc w:val="both"/>
            </w:pPr>
          </w:p>
          <w:p w14:paraId="4BAE1B34" w14:textId="77777777" w:rsidR="00F823E5" w:rsidRPr="00B7329D" w:rsidRDefault="00F823E5" w:rsidP="00005B63">
            <w:pPr>
              <w:tabs>
                <w:tab w:val="left" w:pos="0"/>
                <w:tab w:val="left" w:pos="5529"/>
              </w:tabs>
              <w:jc w:val="both"/>
            </w:pPr>
            <w:r w:rsidRPr="00B7329D">
              <w:t xml:space="preserve">Saskaņā ar Eiropas Parlamenta un Padomes </w:t>
            </w:r>
            <w:proofErr w:type="gramStart"/>
            <w:r w:rsidRPr="00B7329D">
              <w:t>2009.gada</w:t>
            </w:r>
            <w:proofErr w:type="gramEnd"/>
            <w:r w:rsidRPr="00B7329D">
              <w:t xml:space="preserve"> 16.septembra Regulu (EK) Nr. 1005/2009 par ozona slāni noārdošām vielām (turpmāk – Regula 1005/2009) ozona slāni noārdošās vielām aizliedzoši un ierobežojoši pasākumi tiek noteikti gan importam (imports - ir šīs regulas darbības jomā ietverto vielu, ražojumu un iekārtu ievešana Kopienas muitas teritorijā), gan eksportam (eksports - ir tādu šīs regulas darbības jomā ietverto vielu, ražojumu un iekārtu izvešana no Kopienas muitas teritorijas, ja uz šo teritoriju attiecas dalībvalsts ratificētais Protokols un šī regula, kurām ir Kopienas preču statuss, vai tādu šīs regulas darbības jomā ietverto vielu, ražojumu un iekārtu reeksports, kurām nav Kopienas preču statusa). Līdz ar to nav skaidrs, kāpēc administratīvā atbildība tiek paredzēta tikai importam.</w:t>
            </w:r>
          </w:p>
          <w:p w14:paraId="4439A51A" w14:textId="77777777" w:rsidR="00F823E5" w:rsidRPr="00B7329D" w:rsidRDefault="00F823E5" w:rsidP="00680FFE">
            <w:pPr>
              <w:tabs>
                <w:tab w:val="left" w:pos="0"/>
                <w:tab w:val="left" w:pos="5529"/>
              </w:tabs>
            </w:pPr>
          </w:p>
          <w:p w14:paraId="71568855" w14:textId="383E6F54" w:rsidR="00F823E5" w:rsidRPr="00B7329D" w:rsidRDefault="00F823E5" w:rsidP="00005B63">
            <w:pPr>
              <w:tabs>
                <w:tab w:val="left" w:pos="0"/>
                <w:tab w:val="left" w:pos="5529"/>
              </w:tabs>
              <w:jc w:val="both"/>
            </w:pPr>
            <w:r w:rsidRPr="00B7329D">
              <w:t>Ņemot vērā, ka uz šo brīdī Latvijas Administratīvo pārkāpumu kodeksa (turpmāk –</w:t>
            </w:r>
            <w:r w:rsidR="00005B63">
              <w:t xml:space="preserve"> </w:t>
            </w:r>
            <w:r w:rsidRPr="00B7329D">
              <w:t>LAPK) 88.</w:t>
            </w:r>
            <w:r w:rsidRPr="00005B63">
              <w:rPr>
                <w:vertAlign w:val="superscript"/>
              </w:rPr>
              <w:t>1 </w:t>
            </w:r>
            <w:r w:rsidRPr="00B7329D">
              <w:t>panta pirmajā daļā ir paredzēta atbildība “Noteiktās kārtības pārkāpšana, veicot darbības ar ozona slāni noārdošajām vielām” un saskaņā ar LAPK 231.pantu Vides aizsardzības valsts iestādes kompetencē ir pieņemt lēmumus par administratīvajiem pārkāpumiem pēc LAPK 88.</w:t>
            </w:r>
            <w:r w:rsidRPr="00005B63">
              <w:rPr>
                <w:vertAlign w:val="superscript"/>
              </w:rPr>
              <w:t>1</w:t>
            </w:r>
            <w:r w:rsidRPr="00B7329D">
              <w:t> panta pirmās daļas, VID ieskatā nav pamata mainīt atbildīgo valsts iestādi.</w:t>
            </w:r>
          </w:p>
          <w:p w14:paraId="727FB6E0" w14:textId="77777777" w:rsidR="00F823E5" w:rsidRPr="00B7329D" w:rsidRDefault="00F823E5" w:rsidP="00680FFE">
            <w:pPr>
              <w:tabs>
                <w:tab w:val="left" w:pos="0"/>
                <w:tab w:val="left" w:pos="5529"/>
              </w:tabs>
            </w:pPr>
          </w:p>
          <w:p w14:paraId="1FB91B0B" w14:textId="77777777" w:rsidR="00F823E5" w:rsidRPr="00B7329D" w:rsidRDefault="00F823E5" w:rsidP="00005B63">
            <w:pPr>
              <w:tabs>
                <w:tab w:val="left" w:pos="0"/>
                <w:tab w:val="left" w:pos="5529"/>
              </w:tabs>
              <w:jc w:val="both"/>
            </w:pPr>
            <w:r w:rsidRPr="00B7329D">
              <w:t xml:space="preserve">Likumprojektā “Grozījumi Muitas likumā” </w:t>
            </w:r>
            <w:proofErr w:type="gramStart"/>
            <w:r w:rsidRPr="00B7329D">
              <w:t>29.panta</w:t>
            </w:r>
            <w:proofErr w:type="gramEnd"/>
            <w:r w:rsidRPr="00B7329D">
              <w:t xml:space="preserve"> piecpadsmitajā daļā tiks paredzēta administratīvā atbildība, par tādu preču, kurām noteikti aizliegumi un ierobežojumi, vai par viltotu vai pirātisku preču deklarēšanu muitas procedūrai “laišana brīvā apgrozībā” deklarētājam – fiziskai personai – piemēros brīdinājumu vai naudas sodu līdz četrsimt naudas soda vienībām, bet deklarētājam – juridiskai personai – piemēros brīdinājumu vai naudas sodu līdz astoņsimt naudas soda vienībām.</w:t>
            </w:r>
          </w:p>
          <w:p w14:paraId="2897B247" w14:textId="77777777" w:rsidR="00F823E5" w:rsidRPr="00B7329D" w:rsidRDefault="00F823E5" w:rsidP="00005B63">
            <w:pPr>
              <w:tabs>
                <w:tab w:val="left" w:pos="0"/>
                <w:tab w:val="left" w:pos="5529"/>
              </w:tabs>
              <w:jc w:val="both"/>
            </w:pPr>
          </w:p>
          <w:p w14:paraId="1B4F39B5" w14:textId="77777777" w:rsidR="00F823E5" w:rsidRPr="00B7329D" w:rsidRDefault="00F823E5" w:rsidP="00005B63">
            <w:pPr>
              <w:tabs>
                <w:tab w:val="left" w:pos="0"/>
                <w:tab w:val="left" w:pos="5529"/>
              </w:tabs>
              <w:jc w:val="both"/>
            </w:pPr>
            <w:r w:rsidRPr="00B7329D">
              <w:t xml:space="preserve">Ministru kabineta </w:t>
            </w:r>
            <w:proofErr w:type="gramStart"/>
            <w:r w:rsidRPr="00B7329D">
              <w:t>2009.gada</w:t>
            </w:r>
            <w:proofErr w:type="gramEnd"/>
            <w:r w:rsidRPr="00B7329D">
              <w:t xml:space="preserve"> 3.februāra noteikumu Nr.108 “Normatīvo aktu projektu sagatavošanas noteikumi” 3.2.apakšpunkts nosaka, ka normatīvā akta projektā neietver normas, kas dublē augstāka vai tāda paša spēka normatīvā akta tiesību normās ietverto normatīvo regulējumu</w:t>
            </w:r>
          </w:p>
          <w:p w14:paraId="5E9F0DDB" w14:textId="77777777" w:rsidR="00F823E5" w:rsidRPr="00B7329D" w:rsidRDefault="00F823E5" w:rsidP="00005B63">
            <w:pPr>
              <w:tabs>
                <w:tab w:val="left" w:pos="0"/>
                <w:tab w:val="left" w:pos="5529"/>
              </w:tabs>
              <w:jc w:val="both"/>
            </w:pPr>
          </w:p>
          <w:p w14:paraId="49659DE2" w14:textId="77777777" w:rsidR="00F823E5" w:rsidRPr="00B7329D" w:rsidRDefault="00F823E5" w:rsidP="00005B63">
            <w:pPr>
              <w:tabs>
                <w:tab w:val="left" w:pos="0"/>
                <w:tab w:val="left" w:pos="5529"/>
              </w:tabs>
              <w:jc w:val="both"/>
            </w:pPr>
            <w:r w:rsidRPr="00B7329D">
              <w:t xml:space="preserve">Lai izvērtētu Likumprojektā paredzēto atbildību pārkāpumu turpmāko saglabāšanu administratīvo pārkāpumu sistēmā, ir nepieciešams izvērtēt nodarījuma bīstamību, sabiedrisko kaitīgumu, nodarījuma sekas, nodarījuma aktualitāti un nodarījuma attiecināmību uz publiski tiesiskajām attiecībām. Ņemot vērā, ka no brīža, kad Ozona slāni noārdošās vielas un </w:t>
            </w:r>
            <w:proofErr w:type="spellStart"/>
            <w:r w:rsidRPr="00B7329D">
              <w:t>flourētās</w:t>
            </w:r>
            <w:proofErr w:type="spellEnd"/>
            <w:r w:rsidRPr="00B7329D">
              <w:t xml:space="preserve"> siltumnīcefekta gāzes sāktas kontrolēt atbilstoši Regulas 1005/2009 un Eiropas Parlamenta un Padomes </w:t>
            </w:r>
            <w:proofErr w:type="gramStart"/>
            <w:r w:rsidRPr="00B7329D">
              <w:t>2014.gada</w:t>
            </w:r>
            <w:proofErr w:type="gramEnd"/>
            <w:r w:rsidRPr="00B7329D">
              <w:t xml:space="preserve"> 16.aprīļa Regulu (EK) Nr. 517/2014 par dažām </w:t>
            </w:r>
            <w:proofErr w:type="spellStart"/>
            <w:r w:rsidRPr="00B7329D">
              <w:t>fluorētām</w:t>
            </w:r>
            <w:proofErr w:type="spellEnd"/>
            <w:r w:rsidRPr="00B7329D">
              <w:t xml:space="preserve"> siltumnīcefekta gāzēm (turpmāk - Regula 517/2014) nav sastādīts neviens administratīvā pārkāpuma protokols. VID ieskatā, nebūtu lietderīgi paredzēt atbildību atsevišķā normatīvajā aktā. Vēršam uzmanību, ka Ozona slāni noārdošās vielas tiks kontrolētas saskaņā ar Regulu 1005/2009 un </w:t>
            </w:r>
            <w:proofErr w:type="spellStart"/>
            <w:r w:rsidRPr="00B7329D">
              <w:t>Fluorētās</w:t>
            </w:r>
            <w:proofErr w:type="spellEnd"/>
            <w:r w:rsidRPr="00B7329D">
              <w:t xml:space="preserve"> siltumnīcefekta gāzes tiks kontrolētas saskaņā ar Regulu 517/2014.</w:t>
            </w:r>
          </w:p>
          <w:p w14:paraId="5767B66F" w14:textId="3AB69191" w:rsidR="00F823E5" w:rsidRPr="00B7329D" w:rsidRDefault="00F823E5" w:rsidP="00680FFE">
            <w:pPr>
              <w:tabs>
                <w:tab w:val="left" w:pos="0"/>
                <w:tab w:val="left" w:pos="5529"/>
              </w:tabs>
            </w:pPr>
            <w:r w:rsidRPr="00B7329D">
              <w:t>Ņemot vērā minēto, VID neatbalsta grozījumus Likumprojekta 23. panta piektajā daļā un lūdz svītrot minēto tiesību normu.</w:t>
            </w:r>
          </w:p>
        </w:tc>
        <w:tc>
          <w:tcPr>
            <w:tcW w:w="3799" w:type="dxa"/>
            <w:vMerge w:val="restart"/>
          </w:tcPr>
          <w:p w14:paraId="784EC05D" w14:textId="77777777" w:rsidR="00F823E5" w:rsidRDefault="00F823E5" w:rsidP="00846E46">
            <w:pPr>
              <w:jc w:val="both"/>
              <w:rPr>
                <w:rStyle w:val="normaltextrun"/>
                <w:b/>
                <w:bCs/>
              </w:rPr>
            </w:pPr>
            <w:r w:rsidRPr="00503CDB">
              <w:rPr>
                <w:rStyle w:val="normaltextrun"/>
                <w:b/>
                <w:bCs/>
              </w:rPr>
              <w:t>Iebildums ņemts vērā</w:t>
            </w:r>
            <w:r>
              <w:rPr>
                <w:rStyle w:val="normaltextrun"/>
                <w:b/>
                <w:bCs/>
              </w:rPr>
              <w:t xml:space="preserve"> pēc elektroniskās saskaņošanas</w:t>
            </w:r>
            <w:r w:rsidRPr="00503CDB">
              <w:rPr>
                <w:rStyle w:val="normaltextrun"/>
                <w:b/>
                <w:bCs/>
              </w:rPr>
              <w:t>.</w:t>
            </w:r>
          </w:p>
          <w:p w14:paraId="6D9D54EE" w14:textId="77777777" w:rsidR="00F823E5" w:rsidRDefault="00F823E5" w:rsidP="00846E46">
            <w:pPr>
              <w:jc w:val="both"/>
              <w:rPr>
                <w:rStyle w:val="normaltextrun"/>
                <w:b/>
                <w:bCs/>
              </w:rPr>
            </w:pPr>
          </w:p>
          <w:p w14:paraId="3BFB246E" w14:textId="77777777" w:rsidR="00F823E5" w:rsidRDefault="00F823E5" w:rsidP="00F823E5">
            <w:pPr>
              <w:pStyle w:val="BodyText"/>
              <w:spacing w:after="0"/>
              <w:jc w:val="both"/>
              <w:rPr>
                <w:bdr w:val="none" w:sz="0" w:space="0" w:color="auto" w:frame="1"/>
              </w:rPr>
            </w:pPr>
            <w:r w:rsidRPr="00F823E5">
              <w:rPr>
                <w:rFonts w:eastAsia="Calibri"/>
                <w:lang w:eastAsia="en-US"/>
              </w:rPr>
              <w:t xml:space="preserve">Likumprojekts un anotācija precizēti, </w:t>
            </w:r>
            <w:proofErr w:type="gramStart"/>
            <w:r w:rsidRPr="00F823E5">
              <w:rPr>
                <w:bdr w:val="none" w:sz="0" w:space="0" w:color="auto" w:frame="1"/>
              </w:rPr>
              <w:t>svītrojot Valsts ieņēmuma dienesta kompetenci</w:t>
            </w:r>
            <w:r>
              <w:rPr>
                <w:bdr w:val="none" w:sz="0" w:space="0" w:color="auto" w:frame="1"/>
              </w:rPr>
              <w:t>,</w:t>
            </w:r>
            <w:proofErr w:type="gramEnd"/>
            <w:r>
              <w:rPr>
                <w:bdr w:val="none" w:sz="0" w:space="0" w:color="auto" w:frame="1"/>
              </w:rPr>
              <w:t xml:space="preserve"> </w:t>
            </w:r>
            <w:r w:rsidRPr="00F823E5">
              <w:rPr>
                <w:bdr w:val="none" w:sz="0" w:space="0" w:color="auto" w:frame="1"/>
              </w:rPr>
              <w:t xml:space="preserve">un norādot, </w:t>
            </w:r>
            <w:r>
              <w:rPr>
                <w:bdr w:val="none" w:sz="0" w:space="0" w:color="auto" w:frame="1"/>
              </w:rPr>
              <w:t xml:space="preserve">ka administratīvo pārkāpumu procesu </w:t>
            </w:r>
            <w:r w:rsidRPr="00F823E5">
              <w:rPr>
                <w:rStyle w:val="normaltextrun"/>
              </w:rPr>
              <w:t xml:space="preserve">veic </w:t>
            </w:r>
            <w:r w:rsidRPr="00F823E5">
              <w:rPr>
                <w:bdr w:val="none" w:sz="0" w:space="0" w:color="auto" w:frame="1"/>
              </w:rPr>
              <w:t>Valsts vides dienests, pārņemot Latvijas Administratīvo pārkāpumu kodeksā noteikto kompetenci</w:t>
            </w:r>
            <w:r>
              <w:rPr>
                <w:bdr w:val="none" w:sz="0" w:space="0" w:color="auto" w:frame="1"/>
              </w:rPr>
              <w:t>.</w:t>
            </w:r>
          </w:p>
          <w:p w14:paraId="2CB17232" w14:textId="77777777" w:rsidR="00F1401E" w:rsidRDefault="00F1401E" w:rsidP="00F823E5">
            <w:pPr>
              <w:pStyle w:val="BodyText"/>
              <w:spacing w:after="0"/>
              <w:jc w:val="both"/>
              <w:rPr>
                <w:bdr w:val="none" w:sz="0" w:space="0" w:color="auto" w:frame="1"/>
              </w:rPr>
            </w:pPr>
          </w:p>
          <w:p w14:paraId="40CEAD92" w14:textId="1B08C923" w:rsidR="00F1401E" w:rsidRPr="00B7329D" w:rsidRDefault="00846E46" w:rsidP="00846E46">
            <w:pPr>
              <w:jc w:val="both"/>
              <w:rPr>
                <w:rStyle w:val="normaltextrun"/>
              </w:rPr>
            </w:pPr>
            <w:r>
              <w:rPr>
                <w:bCs/>
              </w:rPr>
              <w:t>Likumprojekta 1. </w:t>
            </w:r>
            <w:r w:rsidR="00F1401E" w:rsidRPr="00F1401E">
              <w:rPr>
                <w:bCs/>
              </w:rPr>
              <w:t>pantā aktualizēta terminoloģija par Valsts ieņēmuma dienesta kompetenci, s</w:t>
            </w:r>
            <w:r w:rsidR="00F1401E" w:rsidRPr="00B7329D">
              <w:rPr>
                <w:rStyle w:val="normaltextrun"/>
              </w:rPr>
              <w:t xml:space="preserve">askaņā </w:t>
            </w:r>
            <w:proofErr w:type="gramStart"/>
            <w:r w:rsidR="00F1401E" w:rsidRPr="00B7329D">
              <w:rPr>
                <w:rStyle w:val="normaltextrun"/>
              </w:rPr>
              <w:t xml:space="preserve">ar </w:t>
            </w:r>
            <w:r w:rsidR="00F1401E" w:rsidRPr="00B7329D">
              <w:t>Eiropas Parlamenta un Padomes</w:t>
            </w:r>
            <w:proofErr w:type="gramEnd"/>
            <w:r w:rsidR="00F1401E" w:rsidRPr="00B7329D">
              <w:t xml:space="preserve"> 2013. gada 9. oktobra Regulā Nr.952/2013, ar ko izveido Savienības Muitas kodeksu, </w:t>
            </w:r>
            <w:r w:rsidR="00F1401E" w:rsidRPr="00B7329D">
              <w:rPr>
                <w:rStyle w:val="normaltextrun"/>
              </w:rPr>
              <w:t>izmantoto terminoloģiju aktualizēta Ķīmisko vielu likuma 4. panta sestā daļa, kas nosaka Valsts ieņēmuma dienesta kompetenci kontrolēt uz valsts (muitas) robežas noteiktas bīstamās ķīmiskās vielas un maisījumus, un papildināts ar kontroli par noteiktām bīstamām ķīmiskām vielām un maisījumiem, kas izvestas no Latvijas uz trešo valsti, ietverot arī eksportu</w:t>
            </w:r>
            <w:r w:rsidR="00F1401E" w:rsidRPr="00F1401E">
              <w:rPr>
                <w:bCs/>
              </w:rPr>
              <w:t xml:space="preserve">.  </w:t>
            </w:r>
            <w:proofErr w:type="gramStart"/>
            <w:r w:rsidR="00F1401E" w:rsidRPr="00F1401E">
              <w:rPr>
                <w:bCs/>
              </w:rPr>
              <w:t>Kā arī p</w:t>
            </w:r>
            <w:r w:rsidR="00F1401E" w:rsidRPr="00B7329D">
              <w:rPr>
                <w:rStyle w:val="normaltextrun"/>
              </w:rPr>
              <w:t>apildināts</w:t>
            </w:r>
            <w:proofErr w:type="gramEnd"/>
            <w:r w:rsidR="00F1401E" w:rsidRPr="00B7329D">
              <w:rPr>
                <w:rStyle w:val="normaltextrun"/>
              </w:rPr>
              <w:t xml:space="preserve"> </w:t>
            </w:r>
            <w:r>
              <w:rPr>
                <w:rStyle w:val="normaltextrun"/>
              </w:rPr>
              <w:t>Anotācijas I sadaļas 2. punkts.</w:t>
            </w:r>
          </w:p>
        </w:tc>
        <w:tc>
          <w:tcPr>
            <w:tcW w:w="3431" w:type="dxa"/>
            <w:vMerge w:val="restart"/>
          </w:tcPr>
          <w:p w14:paraId="0F1A2A32" w14:textId="77777777" w:rsidR="00F1401E" w:rsidRPr="00846E46" w:rsidRDefault="00F1401E" w:rsidP="00846E46">
            <w:pPr>
              <w:pStyle w:val="BodyTextIndent"/>
              <w:ind w:right="57" w:firstLine="0"/>
              <w:rPr>
                <w:rFonts w:eastAsia="Calibri"/>
                <w:szCs w:val="24"/>
                <w:lang w:eastAsia="en-US"/>
              </w:rPr>
            </w:pPr>
            <w:r w:rsidRPr="00F1401E">
              <w:t>“</w:t>
            </w:r>
            <w:r w:rsidRPr="00F1401E">
              <w:rPr>
                <w:b/>
              </w:rPr>
              <w:t>23. pants.</w:t>
            </w:r>
            <w:r w:rsidRPr="00F1401E">
              <w:t xml:space="preserve"> </w:t>
            </w:r>
            <w:r w:rsidRPr="00F1401E">
              <w:rPr>
                <w:b/>
              </w:rPr>
              <w:t xml:space="preserve">Administratīvie pārkāpumi ozona slāni noārdošo vielu un </w:t>
            </w:r>
            <w:proofErr w:type="spellStart"/>
            <w:r w:rsidRPr="00F1401E">
              <w:rPr>
                <w:b/>
              </w:rPr>
              <w:t>fluorēto</w:t>
            </w:r>
            <w:proofErr w:type="spellEnd"/>
            <w:r w:rsidRPr="00F1401E">
              <w:rPr>
                <w:b/>
              </w:rPr>
              <w:t xml:space="preserve"> siltumnīcefekta gāzu jomā</w:t>
            </w:r>
          </w:p>
          <w:p w14:paraId="399AF55A" w14:textId="7633CAE2" w:rsidR="00F1401E" w:rsidRPr="00F1401E" w:rsidRDefault="00F1401E" w:rsidP="00F1401E">
            <w:pPr>
              <w:spacing w:before="120"/>
              <w:jc w:val="both"/>
              <w:rPr>
                <w:color w:val="000000" w:themeColor="text1"/>
              </w:rPr>
            </w:pPr>
            <w:r w:rsidRPr="00F1401E">
              <w:rPr>
                <w:color w:val="000000" w:themeColor="text1"/>
              </w:rPr>
              <w:t xml:space="preserve">(6) Par neatļautu ozona slāni noārdošo vielu vai </w:t>
            </w:r>
            <w:proofErr w:type="spellStart"/>
            <w:r w:rsidRPr="00F1401E">
              <w:rPr>
                <w:color w:val="000000" w:themeColor="text1"/>
              </w:rPr>
              <w:t>fluorēto</w:t>
            </w:r>
            <w:proofErr w:type="spellEnd"/>
            <w:r w:rsidRPr="00F1401E">
              <w:rPr>
                <w:color w:val="000000" w:themeColor="text1"/>
              </w:rPr>
              <w:t xml:space="preserve"> siltumnīcefekta gāzu ievešanu (importu) –</w:t>
            </w:r>
          </w:p>
          <w:p w14:paraId="08C33F09" w14:textId="77777777" w:rsidR="00F1401E" w:rsidRPr="00F1401E" w:rsidRDefault="00F1401E" w:rsidP="00F1401E">
            <w:pPr>
              <w:spacing w:before="120"/>
              <w:ind w:firstLine="709"/>
              <w:jc w:val="both"/>
              <w:rPr>
                <w:color w:val="000000" w:themeColor="text1"/>
              </w:rPr>
            </w:pPr>
            <w:r w:rsidRPr="00F1401E">
              <w:rPr>
                <w:color w:val="000000" w:themeColor="text1"/>
              </w:rPr>
              <w:t>piemēro naudas sodu fiziskajām personām līdz simt četrdesmit naudas soda vienībām, bet juridiskajām personām – līdz divsimt astoņdesmit naudas soda vienībām.</w:t>
            </w:r>
          </w:p>
          <w:p w14:paraId="467CC8AA" w14:textId="7F22EBFA" w:rsidR="00F823E5" w:rsidRPr="00F1401E" w:rsidRDefault="00F823E5" w:rsidP="00680FFE">
            <w:pPr>
              <w:pStyle w:val="BodyTextIndent"/>
              <w:ind w:right="57" w:firstLine="0"/>
              <w:rPr>
                <w:b/>
                <w:szCs w:val="24"/>
              </w:rPr>
            </w:pPr>
            <w:r w:rsidRPr="00F1401E">
              <w:rPr>
                <w:rFonts w:eastAsia="Calibri"/>
                <w:b/>
                <w:szCs w:val="24"/>
                <w:lang w:eastAsia="en-US"/>
              </w:rPr>
              <w:t>“</w:t>
            </w:r>
            <w:r w:rsidRPr="00F1401E">
              <w:rPr>
                <w:b/>
                <w:szCs w:val="24"/>
              </w:rPr>
              <w:t>24. pants. Kompetence administratīvo pārkāpumu procesā</w:t>
            </w:r>
          </w:p>
          <w:p w14:paraId="346CC142" w14:textId="3C2B050A" w:rsidR="00F823E5" w:rsidRPr="00F1401E" w:rsidRDefault="00F823E5" w:rsidP="00680FFE">
            <w:pPr>
              <w:pStyle w:val="BodyTextIndent"/>
              <w:ind w:right="57" w:firstLine="0"/>
              <w:rPr>
                <w:szCs w:val="24"/>
              </w:rPr>
            </w:pPr>
            <w:r w:rsidRPr="00F1401E">
              <w:rPr>
                <w:color w:val="000000" w:themeColor="text1"/>
                <w:szCs w:val="24"/>
              </w:rPr>
              <w:t>(4) Administratīvā pārkāpuma procesu par šā likuma 19. panta septītajā daļā minētajiem pārkāpumiem dārgmetālu, dārgakmeņu un to izstrādājumu apritē veic Valsts ieņēmumu dienests.”</w:t>
            </w:r>
          </w:p>
          <w:p w14:paraId="17C02CFE" w14:textId="77777777" w:rsidR="00F823E5" w:rsidRPr="00F1401E" w:rsidRDefault="00F823E5" w:rsidP="00680FFE">
            <w:pPr>
              <w:pStyle w:val="BodyTextIndent"/>
              <w:ind w:right="57" w:firstLine="0"/>
              <w:rPr>
                <w:szCs w:val="24"/>
              </w:rPr>
            </w:pPr>
          </w:p>
          <w:p w14:paraId="10E10E35" w14:textId="77777777" w:rsidR="00F823E5" w:rsidRPr="00F1401E" w:rsidRDefault="00F823E5" w:rsidP="00680FFE">
            <w:pPr>
              <w:pStyle w:val="BodyTextIndent"/>
              <w:ind w:right="57" w:firstLine="0"/>
              <w:rPr>
                <w:szCs w:val="24"/>
              </w:rPr>
            </w:pPr>
          </w:p>
          <w:p w14:paraId="341D5B35" w14:textId="18521F39" w:rsidR="00F823E5" w:rsidRPr="00F1401E" w:rsidRDefault="00846E46" w:rsidP="00680FFE">
            <w:pPr>
              <w:jc w:val="both"/>
            </w:pPr>
            <w:r>
              <w:t>Likumprojekta 1. </w:t>
            </w:r>
            <w:r w:rsidR="00F823E5" w:rsidRPr="00F1401E">
              <w:t>pants (iepriekš nebija ietverts):</w:t>
            </w:r>
          </w:p>
          <w:p w14:paraId="3657A93E" w14:textId="6FCA048C" w:rsidR="00F823E5" w:rsidRPr="00F1401E" w:rsidRDefault="00F823E5" w:rsidP="00680FFE">
            <w:pPr>
              <w:jc w:val="both"/>
            </w:pPr>
            <w:r w:rsidRPr="00F1401E">
              <w:t>“1. 4. panta 6</w:t>
            </w:r>
            <w:r w:rsidRPr="00F1401E">
              <w:rPr>
                <w:vertAlign w:val="superscript"/>
              </w:rPr>
              <w:t xml:space="preserve"> </w:t>
            </w:r>
            <w:r w:rsidRPr="00F1401E">
              <w:t>daļā:</w:t>
            </w:r>
          </w:p>
          <w:p w14:paraId="53E58D6F" w14:textId="4007FEF8" w:rsidR="00F823E5" w:rsidRPr="00F1401E" w:rsidRDefault="00F823E5" w:rsidP="00846E46">
            <w:pPr>
              <w:pStyle w:val="BodyTextIndent"/>
              <w:ind w:right="57" w:firstLine="0"/>
              <w:rPr>
                <w:rFonts w:eastAsia="Calibri"/>
                <w:szCs w:val="24"/>
                <w:lang w:eastAsia="en-US"/>
              </w:rPr>
            </w:pPr>
            <w:r w:rsidRPr="00F1401E">
              <w:rPr>
                <w:szCs w:val="24"/>
              </w:rPr>
              <w:t>Papildināt aiz vārda “Ievestās” ar vārdiem “Latvijā no trešās valsts un izvestās</w:t>
            </w:r>
            <w:r w:rsidR="00846E46">
              <w:rPr>
                <w:szCs w:val="24"/>
              </w:rPr>
              <w:t xml:space="preserve"> no Latvijas uz trešo valsti””.</w:t>
            </w:r>
          </w:p>
        </w:tc>
      </w:tr>
      <w:tr w:rsidR="00F1401E" w:rsidRPr="00503CDB" w14:paraId="6CCC110A" w14:textId="77777777" w:rsidTr="00846E46">
        <w:tc>
          <w:tcPr>
            <w:tcW w:w="846" w:type="dxa"/>
          </w:tcPr>
          <w:p w14:paraId="0ED452E2" w14:textId="0B35621F" w:rsidR="00F1401E" w:rsidRPr="008E660F" w:rsidRDefault="00F1401E" w:rsidP="00DD7A3F">
            <w:pPr>
              <w:pStyle w:val="naisf"/>
              <w:spacing w:before="0" w:after="0"/>
              <w:ind w:firstLine="0"/>
              <w:jc w:val="center"/>
            </w:pPr>
            <w:r w:rsidRPr="008E660F">
              <w:t>1</w:t>
            </w:r>
            <w:r w:rsidR="00DD7A3F">
              <w:t>1</w:t>
            </w:r>
            <w:r w:rsidRPr="008E660F">
              <w:t>.</w:t>
            </w:r>
          </w:p>
        </w:tc>
        <w:tc>
          <w:tcPr>
            <w:tcW w:w="2410" w:type="dxa"/>
          </w:tcPr>
          <w:p w14:paraId="0F856492" w14:textId="6583A3C0" w:rsidR="00F1401E" w:rsidRPr="00B7329D" w:rsidRDefault="00F1401E" w:rsidP="00F1401E">
            <w:pPr>
              <w:jc w:val="both"/>
            </w:pPr>
            <w:r w:rsidRPr="00B7329D">
              <w:t>Likumprojekta paredzētā likuma 23. panta piektā daļa:</w:t>
            </w:r>
          </w:p>
          <w:p w14:paraId="0B6FFB40" w14:textId="77777777" w:rsidR="00F1401E" w:rsidRPr="00B7329D" w:rsidRDefault="00F1401E" w:rsidP="00F1401E">
            <w:pPr>
              <w:jc w:val="both"/>
              <w:rPr>
                <w:b/>
                <w:color w:val="FF0000"/>
              </w:rPr>
            </w:pPr>
            <w:r w:rsidRPr="00B7329D">
              <w:rPr>
                <w:sz w:val="28"/>
              </w:rPr>
              <w:t>“</w:t>
            </w:r>
            <w:r w:rsidRPr="00B7329D">
              <w:rPr>
                <w:b/>
              </w:rPr>
              <w:t>23. pants.</w:t>
            </w:r>
            <w:r w:rsidRPr="00B7329D">
              <w:t xml:space="preserve"> </w:t>
            </w:r>
            <w:r w:rsidRPr="00B7329D">
              <w:rPr>
                <w:b/>
              </w:rPr>
              <w:t xml:space="preserve">Administratīvie pārkāpumi ozona slāni noārdošo vielu un </w:t>
            </w:r>
            <w:proofErr w:type="spellStart"/>
            <w:r w:rsidRPr="00B7329D">
              <w:rPr>
                <w:b/>
              </w:rPr>
              <w:t>fluorēto</w:t>
            </w:r>
            <w:proofErr w:type="spellEnd"/>
            <w:r w:rsidRPr="00B7329D">
              <w:rPr>
                <w:b/>
              </w:rPr>
              <w:t xml:space="preserve"> siltumnīcefekta gāzu jomā</w:t>
            </w:r>
          </w:p>
          <w:p w14:paraId="6206814B" w14:textId="77777777" w:rsidR="00F1401E" w:rsidRPr="00B7329D" w:rsidRDefault="00F1401E" w:rsidP="00F1401E">
            <w:pPr>
              <w:spacing w:before="120"/>
              <w:jc w:val="both"/>
            </w:pPr>
            <w:r w:rsidRPr="00B7329D">
              <w:t xml:space="preserve">(5) Par neatļautu ozona slāni noārdošo vielu vai </w:t>
            </w:r>
            <w:proofErr w:type="spellStart"/>
            <w:r w:rsidRPr="00B7329D">
              <w:t>fluorēto</w:t>
            </w:r>
            <w:proofErr w:type="spellEnd"/>
            <w:r w:rsidRPr="00B7329D">
              <w:t xml:space="preserve"> siltumnīcefekta gāzu ievešanu (importu) –</w:t>
            </w:r>
          </w:p>
          <w:p w14:paraId="2E9AF92E" w14:textId="77777777" w:rsidR="00F1401E" w:rsidRPr="00B7329D" w:rsidRDefault="00F1401E" w:rsidP="00F1401E">
            <w:pPr>
              <w:spacing w:before="120"/>
              <w:ind w:firstLine="709"/>
              <w:jc w:val="both"/>
            </w:pPr>
            <w:r w:rsidRPr="00B7329D">
              <w:t>piemēro naudas sodu fiziskajām personām līdz divsimt astoņdesmit naudas soda vienībām, bet juridiskajām personām – līdz divtūkstoš astoņsimt naudas soda vienībām.”</w:t>
            </w:r>
          </w:p>
          <w:p w14:paraId="0A5638E0" w14:textId="77777777" w:rsidR="00F1401E" w:rsidRPr="00B7329D" w:rsidRDefault="00F1401E" w:rsidP="00F1401E">
            <w:pPr>
              <w:spacing w:before="120"/>
              <w:ind w:firstLine="709"/>
              <w:jc w:val="both"/>
            </w:pPr>
          </w:p>
          <w:p w14:paraId="28D090B7" w14:textId="062DDB03" w:rsidR="00F1401E" w:rsidRPr="00B7329D" w:rsidRDefault="00F1401E" w:rsidP="00F1401E">
            <w:pPr>
              <w:jc w:val="both"/>
            </w:pPr>
            <w:r w:rsidRPr="00B7329D">
              <w:t>Likumprojekta paredzētā likuma 24. panta ceturtā daļa:</w:t>
            </w:r>
          </w:p>
          <w:p w14:paraId="644C7DD1" w14:textId="77777777" w:rsidR="00F1401E" w:rsidRPr="00B7329D" w:rsidRDefault="00F1401E" w:rsidP="00F1401E">
            <w:pPr>
              <w:jc w:val="both"/>
              <w:rPr>
                <w:strike/>
              </w:rPr>
            </w:pPr>
            <w:r w:rsidRPr="00B7329D">
              <w:rPr>
                <w:b/>
              </w:rPr>
              <w:t>“24. pants. Kompetence administratīvo pārkāpumu procesā</w:t>
            </w:r>
            <w:r w:rsidRPr="00B7329D">
              <w:t xml:space="preserve"> (4) Administratīvo pārkāpumu procesu par šā likuma 19. panta septītajā daļā un 23. panta piektajā daļā minētajiem pārkāpumiem attiecībā uz bīstamo vielu aprites ierobežojumu neievērošanu un kontrolējamo vielu ievešanu (importu) veic Valsts ieņēmumu dienests.”</w:t>
            </w:r>
          </w:p>
          <w:p w14:paraId="314BD0CA" w14:textId="77777777" w:rsidR="00F1401E" w:rsidRPr="00503CDB" w:rsidRDefault="00F1401E" w:rsidP="00F1401E">
            <w:pPr>
              <w:jc w:val="both"/>
            </w:pPr>
          </w:p>
        </w:tc>
        <w:tc>
          <w:tcPr>
            <w:tcW w:w="4110" w:type="dxa"/>
          </w:tcPr>
          <w:p w14:paraId="4495B524" w14:textId="289FCBF8" w:rsidR="00F1401E" w:rsidRPr="00503CDB" w:rsidRDefault="00F1401E" w:rsidP="007C711E">
            <w:pPr>
              <w:tabs>
                <w:tab w:val="left" w:pos="0"/>
                <w:tab w:val="left" w:pos="5529"/>
              </w:tabs>
              <w:jc w:val="both"/>
              <w:rPr>
                <w:b/>
                <w:bCs/>
              </w:rPr>
            </w:pPr>
            <w:r w:rsidRPr="00503CDB">
              <w:rPr>
                <w:b/>
                <w:bCs/>
              </w:rPr>
              <w:t>Finanšu ministrijas 2020. </w:t>
            </w:r>
            <w:r w:rsidR="00E06B4A">
              <w:rPr>
                <w:b/>
                <w:bCs/>
              </w:rPr>
              <w:t>gada 6. janvāra e-pasts</w:t>
            </w:r>
            <w:r w:rsidR="007C711E">
              <w:rPr>
                <w:b/>
                <w:bCs/>
              </w:rPr>
              <w:t xml:space="preserve"> </w:t>
            </w:r>
            <w:r w:rsidRPr="00503CDB">
              <w:rPr>
                <w:b/>
                <w:bCs/>
              </w:rPr>
              <w:t>Nr. 10.1-6/7-1e/5</w:t>
            </w:r>
          </w:p>
          <w:p w14:paraId="3E53052A" w14:textId="77777777" w:rsidR="00F1401E" w:rsidRPr="00503CDB" w:rsidRDefault="00F1401E" w:rsidP="00F1401E">
            <w:pPr>
              <w:tabs>
                <w:tab w:val="left" w:pos="0"/>
                <w:tab w:val="left" w:pos="5529"/>
              </w:tabs>
              <w:rPr>
                <w:b/>
                <w:bCs/>
              </w:rPr>
            </w:pPr>
          </w:p>
          <w:p w14:paraId="3F4AC162" w14:textId="77777777" w:rsidR="00F1401E" w:rsidRPr="00503CDB" w:rsidRDefault="00F1401E" w:rsidP="00F1401E">
            <w:pPr>
              <w:pStyle w:val="xmsonormal"/>
              <w:shd w:val="clear" w:color="auto" w:fill="FFFFFF" w:themeFill="background1"/>
              <w:spacing w:before="0" w:beforeAutospacing="0" w:after="0" w:afterAutospacing="0"/>
              <w:jc w:val="both"/>
            </w:pPr>
            <w:r w:rsidRPr="00503CDB">
              <w:rPr>
                <w:bdr w:val="none" w:sz="0" w:space="0" w:color="auto" w:frame="1"/>
              </w:rPr>
              <w:t xml:space="preserve">Likumprojekta sākotnējās ietekmes novērtējuma ziņojumā (anotācijā) norādīts, ka Likumprojekta </w:t>
            </w:r>
            <w:proofErr w:type="gramStart"/>
            <w:r w:rsidRPr="00503CDB">
              <w:rPr>
                <w:bdr w:val="none" w:sz="0" w:space="0" w:color="auto" w:frame="1"/>
              </w:rPr>
              <w:t>19.panta</w:t>
            </w:r>
            <w:proofErr w:type="gramEnd"/>
            <w:r w:rsidRPr="00503CDB">
              <w:rPr>
                <w:bdr w:val="none" w:sz="0" w:space="0" w:color="auto" w:frame="1"/>
              </w:rPr>
              <w:t xml:space="preserve"> ceturtā daļa pārņem LAPK 88.4 panta sestajā daļā paredzētā administratīvā pārkāpuma sastāvu un 23.panta piektā daļa pārņem Latvijas Administratīvo pārkāpumu kodeksa (turpmāk –LAPK) 88.</w:t>
            </w:r>
            <w:r w:rsidRPr="007C711E">
              <w:rPr>
                <w:bdr w:val="none" w:sz="0" w:space="0" w:color="auto" w:frame="1"/>
                <w:vertAlign w:val="superscript"/>
              </w:rPr>
              <w:t>1</w:t>
            </w:r>
            <w:r w:rsidRPr="00503CDB">
              <w:rPr>
                <w:bdr w:val="none" w:sz="0" w:space="0" w:color="auto" w:frame="1"/>
              </w:rPr>
              <w:t> panta pirmajā daļā paredzētā administratīvā pārkāpuma sastāvu.</w:t>
            </w:r>
          </w:p>
          <w:p w14:paraId="31E9AE62" w14:textId="77777777" w:rsidR="00F1401E" w:rsidRPr="00503CDB" w:rsidRDefault="00F1401E" w:rsidP="00F1401E">
            <w:pPr>
              <w:pStyle w:val="xmsonormal"/>
              <w:shd w:val="clear" w:color="auto" w:fill="FFFFFF" w:themeFill="background1"/>
              <w:spacing w:before="0" w:beforeAutospacing="0" w:after="0" w:afterAutospacing="0"/>
              <w:jc w:val="both"/>
              <w:rPr>
                <w:bdr w:val="none" w:sz="0" w:space="0" w:color="auto" w:frame="1"/>
              </w:rPr>
            </w:pPr>
          </w:p>
          <w:p w14:paraId="6CD3C103" w14:textId="77777777" w:rsidR="00F1401E" w:rsidRPr="00503CDB" w:rsidRDefault="00F1401E" w:rsidP="00F1401E">
            <w:pPr>
              <w:pStyle w:val="xmsonormal"/>
              <w:shd w:val="clear" w:color="auto" w:fill="FFFFFF" w:themeFill="background1"/>
              <w:spacing w:before="0" w:beforeAutospacing="0" w:after="0" w:afterAutospacing="0"/>
              <w:jc w:val="both"/>
            </w:pPr>
            <w:r w:rsidRPr="00503CDB">
              <w:rPr>
                <w:bdr w:val="none" w:sz="0" w:space="0" w:color="auto" w:frame="1"/>
              </w:rPr>
              <w:t>LAPK 88.</w:t>
            </w:r>
            <w:r w:rsidRPr="007C711E">
              <w:rPr>
                <w:bdr w:val="none" w:sz="0" w:space="0" w:color="auto" w:frame="1"/>
                <w:vertAlign w:val="superscript"/>
              </w:rPr>
              <w:t>1</w:t>
            </w:r>
            <w:r w:rsidRPr="00503CDB">
              <w:rPr>
                <w:bdr w:val="none" w:sz="0" w:space="0" w:color="auto" w:frame="1"/>
              </w:rPr>
              <w:t> panta pirmajā daļā ir paredzēta atbildība par neatļautu ozona slāni noārdošo vielu ievešanu (importu)</w:t>
            </w:r>
            <w:proofErr w:type="gramStart"/>
            <w:r w:rsidRPr="00503CDB">
              <w:rPr>
                <w:bdr w:val="none" w:sz="0" w:space="0" w:color="auto" w:frame="1"/>
              </w:rPr>
              <w:t xml:space="preserve"> un</w:t>
            </w:r>
            <w:proofErr w:type="gramEnd"/>
            <w:r w:rsidRPr="00503CDB">
              <w:rPr>
                <w:bdr w:val="none" w:sz="0" w:space="0" w:color="auto" w:frame="1"/>
              </w:rPr>
              <w:t xml:space="preserve"> 88.4 panta sestajā daļā ir paredzēta atbildība par bīstamo ķīmisko vielu neatļautu eksportu.</w:t>
            </w:r>
          </w:p>
          <w:p w14:paraId="12A08103" w14:textId="77777777" w:rsidR="00F1401E" w:rsidRPr="00503CDB" w:rsidRDefault="00F1401E" w:rsidP="00F1401E">
            <w:pPr>
              <w:pStyle w:val="xmsonormal"/>
              <w:shd w:val="clear" w:color="auto" w:fill="FFFFFF" w:themeFill="background1"/>
              <w:spacing w:before="0" w:beforeAutospacing="0" w:after="0" w:afterAutospacing="0"/>
              <w:jc w:val="both"/>
              <w:rPr>
                <w:bdr w:val="none" w:sz="0" w:space="0" w:color="auto" w:frame="1"/>
              </w:rPr>
            </w:pPr>
          </w:p>
          <w:p w14:paraId="3281F960" w14:textId="77777777" w:rsidR="00F1401E" w:rsidRPr="00503CDB" w:rsidRDefault="00F1401E" w:rsidP="00F1401E">
            <w:pPr>
              <w:pStyle w:val="xmsonormal"/>
              <w:shd w:val="clear" w:color="auto" w:fill="FFFFFF" w:themeFill="background1"/>
              <w:spacing w:before="0" w:beforeAutospacing="0" w:after="0" w:afterAutospacing="0"/>
              <w:jc w:val="both"/>
            </w:pPr>
            <w:r w:rsidRPr="00503CDB">
              <w:rPr>
                <w:bdr w:val="none" w:sz="0" w:space="0" w:color="auto" w:frame="1"/>
              </w:rPr>
              <w:t>Saskaņā ar LAPK 231.pantu Vides aizsardzības valsts iestādes kompetencē ir pieņemt lēmumus par administratīvajiem pārkāpumiem pēc LAPK 88.</w:t>
            </w:r>
            <w:r w:rsidRPr="007C711E">
              <w:rPr>
                <w:bdr w:val="none" w:sz="0" w:space="0" w:color="auto" w:frame="1"/>
                <w:vertAlign w:val="superscript"/>
              </w:rPr>
              <w:t>1</w:t>
            </w:r>
            <w:r w:rsidRPr="00503CDB">
              <w:rPr>
                <w:bdr w:val="none" w:sz="0" w:space="0" w:color="auto" w:frame="1"/>
              </w:rPr>
              <w:t> panta pirmās daļas un 88.4 panta sestās daļas.</w:t>
            </w:r>
          </w:p>
          <w:p w14:paraId="3F48B4F0" w14:textId="77777777" w:rsidR="00F1401E" w:rsidRPr="00503CDB" w:rsidRDefault="00F1401E" w:rsidP="00F1401E">
            <w:pPr>
              <w:pStyle w:val="xmsonormal"/>
              <w:shd w:val="clear" w:color="auto" w:fill="FFFFFF" w:themeFill="background1"/>
              <w:spacing w:before="0" w:beforeAutospacing="0" w:after="0" w:afterAutospacing="0"/>
              <w:ind w:firstLine="720"/>
              <w:jc w:val="both"/>
              <w:rPr>
                <w:bdr w:val="none" w:sz="0" w:space="0" w:color="auto" w:frame="1"/>
              </w:rPr>
            </w:pPr>
          </w:p>
          <w:p w14:paraId="63522597" w14:textId="77777777" w:rsidR="00F1401E" w:rsidRPr="00503CDB" w:rsidRDefault="00F1401E" w:rsidP="00F1401E">
            <w:pPr>
              <w:pStyle w:val="xmsonormal"/>
              <w:shd w:val="clear" w:color="auto" w:fill="FFFFFF" w:themeFill="background1"/>
              <w:spacing w:before="0" w:beforeAutospacing="0" w:after="0" w:afterAutospacing="0"/>
              <w:jc w:val="both"/>
            </w:pPr>
            <w:r w:rsidRPr="00503CDB">
              <w:rPr>
                <w:bdr w:val="none" w:sz="0" w:space="0" w:color="auto" w:frame="1"/>
              </w:rPr>
              <w:t xml:space="preserve">Likumprojekts paredz, ka administratīvā pārkāpuma procesu par šā likuma </w:t>
            </w:r>
            <w:proofErr w:type="gramStart"/>
            <w:r w:rsidRPr="00503CDB">
              <w:rPr>
                <w:bdr w:val="none" w:sz="0" w:space="0" w:color="auto" w:frame="1"/>
              </w:rPr>
              <w:t>19.panta</w:t>
            </w:r>
            <w:proofErr w:type="gramEnd"/>
            <w:r w:rsidRPr="00503CDB">
              <w:rPr>
                <w:bdr w:val="none" w:sz="0" w:space="0" w:color="auto" w:frame="1"/>
              </w:rPr>
              <w:t xml:space="preserve"> ceturtajā daļā minētajiem pārkāpumiem par neatļautu bīstamo ķīmisko vielu eksportu un 23.panta piektajā daļā minētajiem pārkāpumiem attiecībā uz bīstamo vielu aprites ierobežojumu neievērošanu un kontrolējamo vielu ievešanu (importu) veic Valsts ieņēmumu dienests (turpmāk – VID).</w:t>
            </w:r>
          </w:p>
          <w:p w14:paraId="6178F9DB" w14:textId="77777777" w:rsidR="00F1401E" w:rsidRPr="00503CDB" w:rsidRDefault="00F1401E" w:rsidP="00F1401E">
            <w:pPr>
              <w:pStyle w:val="xmsonormal"/>
              <w:shd w:val="clear" w:color="auto" w:fill="FFFFFF" w:themeFill="background1"/>
              <w:spacing w:before="0" w:beforeAutospacing="0" w:after="0" w:afterAutospacing="0"/>
              <w:jc w:val="both"/>
              <w:rPr>
                <w:bdr w:val="none" w:sz="0" w:space="0" w:color="auto" w:frame="1"/>
              </w:rPr>
            </w:pPr>
          </w:p>
          <w:p w14:paraId="791624E4" w14:textId="77777777" w:rsidR="00F1401E" w:rsidRPr="00503CDB" w:rsidRDefault="00F1401E" w:rsidP="00F1401E">
            <w:pPr>
              <w:pStyle w:val="xmsonormal"/>
              <w:shd w:val="clear" w:color="auto" w:fill="FFFFFF" w:themeFill="background1"/>
              <w:spacing w:before="0" w:beforeAutospacing="0" w:after="0" w:afterAutospacing="0"/>
              <w:jc w:val="both"/>
            </w:pPr>
            <w:r w:rsidRPr="00503CDB">
              <w:rPr>
                <w:bdr w:val="none" w:sz="0" w:space="0" w:color="auto" w:frame="1"/>
              </w:rPr>
              <w:t xml:space="preserve">Likuma “Par Valsts ieņēmumu dienestu” </w:t>
            </w:r>
            <w:proofErr w:type="gramStart"/>
            <w:r w:rsidRPr="00503CDB">
              <w:rPr>
                <w:bdr w:val="none" w:sz="0" w:space="0" w:color="auto" w:frame="1"/>
              </w:rPr>
              <w:t>2.pantā</w:t>
            </w:r>
            <w:proofErr w:type="gramEnd"/>
            <w:r w:rsidRPr="00503CDB">
              <w:rPr>
                <w:bdr w:val="none" w:sz="0" w:space="0" w:color="auto" w:frame="1"/>
              </w:rPr>
              <w:t xml:space="preserve"> ir noteikti VID galvenie uzdevumi un 8.pantā ir noteikti VID uzdevumi nodokļu administrēšanā. Minētajās tiesību normās nav noteikta VID kompetence bīstamo ķīmisko vielu un ozona slāņu noārdošo vielu vai </w:t>
            </w:r>
            <w:proofErr w:type="spellStart"/>
            <w:r w:rsidRPr="00503CDB">
              <w:rPr>
                <w:bdr w:val="none" w:sz="0" w:space="0" w:color="auto" w:frame="1"/>
              </w:rPr>
              <w:t>fluorēto</w:t>
            </w:r>
            <w:proofErr w:type="spellEnd"/>
            <w:r w:rsidRPr="00503CDB">
              <w:rPr>
                <w:bdr w:val="none" w:sz="0" w:space="0" w:color="auto" w:frame="1"/>
              </w:rPr>
              <w:t xml:space="preserve"> siltumnīcefekta gāzu kontrolē, ciktāl tā neizriet no VID tiešajām funkcijām nodokļu administrēšanas jomā.</w:t>
            </w:r>
          </w:p>
          <w:p w14:paraId="619232F7" w14:textId="77777777" w:rsidR="00F1401E" w:rsidRPr="00503CDB" w:rsidRDefault="00F1401E" w:rsidP="00F1401E">
            <w:pPr>
              <w:pStyle w:val="xmsonormal"/>
              <w:shd w:val="clear" w:color="auto" w:fill="FFFFFF" w:themeFill="background1"/>
              <w:spacing w:before="0" w:beforeAutospacing="0" w:after="0" w:afterAutospacing="0"/>
              <w:jc w:val="both"/>
              <w:rPr>
                <w:bdr w:val="none" w:sz="0" w:space="0" w:color="auto" w:frame="1"/>
              </w:rPr>
            </w:pPr>
          </w:p>
          <w:p w14:paraId="40BA1C8D" w14:textId="77777777" w:rsidR="00F1401E" w:rsidRPr="00503CDB" w:rsidRDefault="00F1401E" w:rsidP="00F1401E">
            <w:pPr>
              <w:pStyle w:val="xmsonormal"/>
              <w:shd w:val="clear" w:color="auto" w:fill="FFFFFF" w:themeFill="background1"/>
              <w:spacing w:before="0" w:beforeAutospacing="0" w:after="0" w:afterAutospacing="0"/>
              <w:jc w:val="both"/>
            </w:pPr>
            <w:r w:rsidRPr="00503CDB">
              <w:rPr>
                <w:bdr w:val="none" w:sz="0" w:space="0" w:color="auto" w:frame="1"/>
              </w:rPr>
              <w:t xml:space="preserve">Ņemot vērā minēto, Likumprojektu tiek paplašināta VID kompetence bīstamo ķīmisko vielu un ozona slāņu noārdošo vielu vai </w:t>
            </w:r>
            <w:proofErr w:type="spellStart"/>
            <w:r w:rsidRPr="00503CDB">
              <w:rPr>
                <w:bdr w:val="none" w:sz="0" w:space="0" w:color="auto" w:frame="1"/>
              </w:rPr>
              <w:t>fluorēto</w:t>
            </w:r>
            <w:proofErr w:type="spellEnd"/>
            <w:r w:rsidRPr="00503CDB">
              <w:rPr>
                <w:bdr w:val="none" w:sz="0" w:space="0" w:color="auto" w:frame="1"/>
              </w:rPr>
              <w:t xml:space="preserve"> siltumnīcefekta gāzu jomā. VID nav nedz materiālie</w:t>
            </w:r>
            <w:proofErr w:type="gramStart"/>
            <w:r w:rsidRPr="00503CDB">
              <w:rPr>
                <w:bdr w:val="none" w:sz="0" w:space="0" w:color="auto" w:frame="1"/>
              </w:rPr>
              <w:t xml:space="preserve"> nedz</w:t>
            </w:r>
            <w:proofErr w:type="gramEnd"/>
            <w:r w:rsidRPr="00503CDB">
              <w:rPr>
                <w:bdr w:val="none" w:sz="0" w:space="0" w:color="auto" w:frame="1"/>
              </w:rPr>
              <w:t xml:space="preserve"> personāla resursi administratīvā pārkāpuma procesa veikšanai par administratīvajiem pārkāpumiem bīstamo ķīmisko vielu un ozona slāņu noārdošo vielu vai </w:t>
            </w:r>
            <w:proofErr w:type="spellStart"/>
            <w:r w:rsidRPr="00503CDB">
              <w:rPr>
                <w:bdr w:val="none" w:sz="0" w:space="0" w:color="auto" w:frame="1"/>
              </w:rPr>
              <w:t>fluorēto</w:t>
            </w:r>
            <w:proofErr w:type="spellEnd"/>
            <w:r w:rsidRPr="00503CDB">
              <w:rPr>
                <w:bdr w:val="none" w:sz="0" w:space="0" w:color="auto" w:frame="1"/>
              </w:rPr>
              <w:t xml:space="preserve"> siltumnīcefekta gāzu jomā.</w:t>
            </w:r>
          </w:p>
          <w:p w14:paraId="1C6D19E5" w14:textId="77777777" w:rsidR="00F1401E" w:rsidRPr="00503CDB" w:rsidRDefault="00F1401E" w:rsidP="00F1401E">
            <w:pPr>
              <w:pStyle w:val="xmsonormal"/>
              <w:shd w:val="clear" w:color="auto" w:fill="FFFFFF" w:themeFill="background1"/>
              <w:spacing w:before="0" w:beforeAutospacing="0" w:after="0" w:afterAutospacing="0"/>
              <w:jc w:val="both"/>
            </w:pPr>
            <w:r w:rsidRPr="00503CDB">
              <w:rPr>
                <w:bdr w:val="none" w:sz="0" w:space="0" w:color="auto" w:frame="1"/>
              </w:rPr>
              <w:t xml:space="preserve">Pamatojoties uz minēto, lūdzam kā kompetento iestādi administratīvā pārkāpuma procesā attiecībā uz administratīvajiem pārkāpumiem bīstamo ķīmisko vielu neatļauto eksportu un ozona slāņu noārdošo vielu vai </w:t>
            </w:r>
            <w:proofErr w:type="spellStart"/>
            <w:r w:rsidRPr="00503CDB">
              <w:rPr>
                <w:bdr w:val="none" w:sz="0" w:space="0" w:color="auto" w:frame="1"/>
              </w:rPr>
              <w:t>fluorēto</w:t>
            </w:r>
            <w:proofErr w:type="spellEnd"/>
            <w:r w:rsidRPr="00503CDB">
              <w:rPr>
                <w:bdr w:val="none" w:sz="0" w:space="0" w:color="auto" w:frame="1"/>
              </w:rPr>
              <w:t xml:space="preserve"> siltumnīcefekta gāzu jomā noteikt Valsts vides dienestu.</w:t>
            </w:r>
          </w:p>
          <w:p w14:paraId="20872A3B" w14:textId="77777777" w:rsidR="00F1401E" w:rsidRPr="00503CDB" w:rsidRDefault="00F1401E" w:rsidP="00F1401E">
            <w:pPr>
              <w:pStyle w:val="xmsonormal"/>
              <w:shd w:val="clear" w:color="auto" w:fill="FFFFFF" w:themeFill="background1"/>
              <w:spacing w:before="0" w:beforeAutospacing="0" w:after="0" w:afterAutospacing="0"/>
              <w:jc w:val="both"/>
              <w:rPr>
                <w:bdr w:val="none" w:sz="0" w:space="0" w:color="auto" w:frame="1"/>
              </w:rPr>
            </w:pPr>
          </w:p>
          <w:p w14:paraId="7C6BCA35" w14:textId="77777777" w:rsidR="00F1401E" w:rsidRPr="00503CDB" w:rsidRDefault="00F1401E" w:rsidP="00F1401E">
            <w:pPr>
              <w:pStyle w:val="xmsonormal"/>
              <w:shd w:val="clear" w:color="auto" w:fill="FFFFFF" w:themeFill="background1"/>
              <w:spacing w:before="0" w:beforeAutospacing="0" w:after="0" w:afterAutospacing="0"/>
              <w:jc w:val="both"/>
            </w:pPr>
            <w:r w:rsidRPr="00503CDB">
              <w:rPr>
                <w:bdr w:val="none" w:sz="0" w:space="0" w:color="auto" w:frame="1"/>
              </w:rPr>
              <w:t>Administratīvās atbildības likuma (turpmāk – AAL) 117.panta pirmās daļas 3.punkts nosaka, ka iegūstot ziņas par iespējamu administratīvo pārkāpumu, amatpersona, ja nepieciešams, normatīvajos aktos noteiktās kompetences ietvaros pārbauda šīs ziņas un ne vēlāk kā triju darbdienu laikā no ziņu iegūšanas dienas pieņem lēmumu, par materiālu pārsūtīšanu pēc piekritības (spēkā no 2020. gada 1. jūlija).</w:t>
            </w:r>
          </w:p>
          <w:p w14:paraId="4E395CF9" w14:textId="77777777" w:rsidR="00F1401E" w:rsidRPr="00503CDB" w:rsidRDefault="00F1401E" w:rsidP="00F1401E">
            <w:pPr>
              <w:pStyle w:val="xmsonormal"/>
              <w:shd w:val="clear" w:color="auto" w:fill="FFFFFF" w:themeFill="background1"/>
              <w:spacing w:before="0" w:beforeAutospacing="0" w:after="0" w:afterAutospacing="0"/>
              <w:jc w:val="both"/>
            </w:pPr>
            <w:r w:rsidRPr="00503CDB">
              <w:rPr>
                <w:bdr w:val="none" w:sz="0" w:space="0" w:color="auto" w:frame="1"/>
              </w:rPr>
              <w:t xml:space="preserve">Tā kā VID amatpersonas veic noteikta apjoma kontroles bīstamo ķīmisko vielu un ozona slāņu noārdošo vielu vai </w:t>
            </w:r>
            <w:proofErr w:type="spellStart"/>
            <w:r w:rsidRPr="00503CDB">
              <w:rPr>
                <w:bdr w:val="none" w:sz="0" w:space="0" w:color="auto" w:frame="1"/>
              </w:rPr>
              <w:t>fluorēto</w:t>
            </w:r>
            <w:proofErr w:type="spellEnd"/>
            <w:r w:rsidRPr="00503CDB">
              <w:rPr>
                <w:bdr w:val="none" w:sz="0" w:space="0" w:color="auto" w:frame="1"/>
              </w:rPr>
              <w:t xml:space="preserve"> siltumnīcefekta gāzu jomā noteiktā apjomā (muitas kontroli), VID kompetenci attiecībā uz kontrolēm bīstamo ķīmisko vielu un ozona slāņu noārdošo vielu vai </w:t>
            </w:r>
            <w:proofErr w:type="spellStart"/>
            <w:r w:rsidRPr="00503CDB">
              <w:rPr>
                <w:bdr w:val="none" w:sz="0" w:space="0" w:color="auto" w:frame="1"/>
              </w:rPr>
              <w:t>fluorēto</w:t>
            </w:r>
            <w:proofErr w:type="spellEnd"/>
            <w:r w:rsidRPr="00503CDB">
              <w:rPr>
                <w:bdr w:val="none" w:sz="0" w:space="0" w:color="auto" w:frame="1"/>
              </w:rPr>
              <w:t xml:space="preserve"> siltumnīcefekta gāzu jomā būtu nosakāma līdz administratīvā pārkāpuma procesa uzsākšanai, proti, par kontrolē konstatēto, neuzsākot administratīvā pārkāpuma procesu, Valsts ieņēmumu dienests atbilstoši AAL 117.panta pirmās daļas 3.punktam pieņem lēmumu par materiālu nosūtīšanu kompetentajai institūcijai: Valsts vides dienestam.</w:t>
            </w:r>
          </w:p>
          <w:p w14:paraId="09B090E8" w14:textId="77777777" w:rsidR="00F1401E" w:rsidRPr="00503CDB" w:rsidRDefault="00F1401E" w:rsidP="00F1401E">
            <w:pPr>
              <w:tabs>
                <w:tab w:val="left" w:pos="0"/>
                <w:tab w:val="left" w:pos="5529"/>
              </w:tabs>
            </w:pPr>
          </w:p>
        </w:tc>
        <w:tc>
          <w:tcPr>
            <w:tcW w:w="3799" w:type="dxa"/>
            <w:vMerge/>
          </w:tcPr>
          <w:p w14:paraId="7F38FC7B" w14:textId="77777777" w:rsidR="00F1401E" w:rsidRPr="00503CDB" w:rsidRDefault="00F1401E" w:rsidP="00F1401E">
            <w:pPr>
              <w:jc w:val="both"/>
              <w:rPr>
                <w:rStyle w:val="normaltextrun"/>
                <w:highlight w:val="yellow"/>
              </w:rPr>
            </w:pPr>
          </w:p>
        </w:tc>
        <w:tc>
          <w:tcPr>
            <w:tcW w:w="3431" w:type="dxa"/>
            <w:vMerge/>
          </w:tcPr>
          <w:p w14:paraId="1D5F51A6" w14:textId="7FF04902" w:rsidR="00F1401E" w:rsidRPr="00503CDB" w:rsidRDefault="00F1401E" w:rsidP="00F1401E">
            <w:pPr>
              <w:pStyle w:val="BodyTextIndent"/>
              <w:ind w:right="57" w:firstLine="0"/>
              <w:rPr>
                <w:rFonts w:eastAsia="Calibri"/>
                <w:szCs w:val="24"/>
                <w:highlight w:val="yellow"/>
                <w:lang w:eastAsia="en-US"/>
              </w:rPr>
            </w:pPr>
          </w:p>
        </w:tc>
      </w:tr>
      <w:tr w:rsidR="00F1401E" w:rsidRPr="00371588" w14:paraId="5DAD365E" w14:textId="77777777" w:rsidTr="00846E46">
        <w:tc>
          <w:tcPr>
            <w:tcW w:w="846" w:type="dxa"/>
          </w:tcPr>
          <w:p w14:paraId="3C26077B" w14:textId="5A1A33B1" w:rsidR="00F1401E" w:rsidRPr="008E660F" w:rsidRDefault="00F1401E" w:rsidP="00DD7A3F">
            <w:pPr>
              <w:pStyle w:val="naisf"/>
              <w:spacing w:before="0" w:after="0"/>
              <w:ind w:firstLine="0"/>
              <w:jc w:val="center"/>
            </w:pPr>
            <w:r w:rsidRPr="008E660F">
              <w:t>1</w:t>
            </w:r>
            <w:r w:rsidR="00DD7A3F">
              <w:t>2</w:t>
            </w:r>
            <w:r w:rsidRPr="008E660F">
              <w:t>.</w:t>
            </w:r>
          </w:p>
        </w:tc>
        <w:tc>
          <w:tcPr>
            <w:tcW w:w="2410" w:type="dxa"/>
          </w:tcPr>
          <w:p w14:paraId="3F46C944" w14:textId="77777777" w:rsidR="00F1401E" w:rsidRPr="003C35B2" w:rsidRDefault="00F1401E" w:rsidP="00F1401E">
            <w:pPr>
              <w:tabs>
                <w:tab w:val="left" w:pos="0"/>
                <w:tab w:val="left" w:pos="5529"/>
              </w:tabs>
            </w:pPr>
            <w:r w:rsidRPr="003C35B2">
              <w:t>Likumprojekta 4. pantā (iepriekš 3. pantā) paredzētā likuma 24. panta ceturtā daļa.</w:t>
            </w:r>
          </w:p>
          <w:p w14:paraId="19A405F4" w14:textId="77777777" w:rsidR="00F1401E" w:rsidRPr="003C35B2" w:rsidRDefault="00F1401E" w:rsidP="00F1401E">
            <w:pPr>
              <w:jc w:val="both"/>
            </w:pPr>
          </w:p>
          <w:p w14:paraId="448529B9" w14:textId="77777777" w:rsidR="00F1401E" w:rsidRPr="003C35B2" w:rsidRDefault="00F1401E" w:rsidP="00F1401E">
            <w:pPr>
              <w:jc w:val="both"/>
              <w:rPr>
                <w:strike/>
              </w:rPr>
            </w:pPr>
            <w:r w:rsidRPr="003C35B2">
              <w:rPr>
                <w:b/>
              </w:rPr>
              <w:t>“24. pants. Kompetence administratīvo pārkāpumu procesā</w:t>
            </w:r>
            <w:r w:rsidRPr="003C35B2">
              <w:t xml:space="preserve"> (4) Administratīvo pārkāpumu procesu par šā likuma 19. panta septītajā daļā un 23. panta piektajā daļā minētajiem pārkāpumiem attiecībā uz bīstamo vielu aprites ierobežojumu neievērošanu un kontrolējamo vielu ievešanu (importu) veic Valsts ieņēmumu dienests.”</w:t>
            </w:r>
          </w:p>
          <w:p w14:paraId="19F9DE2A" w14:textId="1054E094" w:rsidR="00F1401E" w:rsidRPr="003C35B2" w:rsidRDefault="00F1401E" w:rsidP="00F1401E">
            <w:pPr>
              <w:jc w:val="both"/>
            </w:pPr>
          </w:p>
        </w:tc>
        <w:tc>
          <w:tcPr>
            <w:tcW w:w="4110" w:type="dxa"/>
          </w:tcPr>
          <w:p w14:paraId="439E6E01" w14:textId="77777777" w:rsidR="00F1401E" w:rsidRPr="003C35B2" w:rsidRDefault="00F1401E" w:rsidP="00F1401E">
            <w:pPr>
              <w:tabs>
                <w:tab w:val="left" w:pos="0"/>
                <w:tab w:val="left" w:pos="5529"/>
              </w:tabs>
              <w:rPr>
                <w:b/>
                <w:bCs/>
              </w:rPr>
            </w:pPr>
            <w:r w:rsidRPr="003C35B2">
              <w:rPr>
                <w:b/>
                <w:bCs/>
              </w:rPr>
              <w:t>Finanšu ministrijas 2019. gada 1. oktobra atzinums Nr. 12/A-7/4593</w:t>
            </w:r>
          </w:p>
          <w:p w14:paraId="2FEF075D" w14:textId="77777777" w:rsidR="00F1401E" w:rsidRPr="003C35B2" w:rsidRDefault="00F1401E" w:rsidP="00005B63">
            <w:pPr>
              <w:tabs>
                <w:tab w:val="left" w:pos="0"/>
                <w:tab w:val="left" w:pos="5529"/>
              </w:tabs>
              <w:jc w:val="both"/>
            </w:pPr>
            <w:r w:rsidRPr="003C35B2">
              <w:t xml:space="preserve">3. Likumprojekts paredz VID noteikt pienākumu veikt administratīvo pārkāpumu procesu par šī likumprojekta </w:t>
            </w:r>
            <w:proofErr w:type="gramStart"/>
            <w:r w:rsidRPr="003C35B2">
              <w:t>19.panta</w:t>
            </w:r>
            <w:proofErr w:type="gramEnd"/>
            <w:r w:rsidRPr="003C35B2">
              <w:t xml:space="preserve"> septītajā daļā un 23.panta piektajā daļā paredzētajiem pārkāpumiem.</w:t>
            </w:r>
          </w:p>
          <w:p w14:paraId="7FFA3CF1" w14:textId="77777777" w:rsidR="00F1401E" w:rsidRPr="003C35B2" w:rsidRDefault="00F1401E" w:rsidP="00005B63">
            <w:pPr>
              <w:tabs>
                <w:tab w:val="left" w:pos="0"/>
                <w:tab w:val="left" w:pos="5529"/>
              </w:tabs>
              <w:jc w:val="both"/>
            </w:pPr>
            <w:r w:rsidRPr="003C35B2">
              <w:t xml:space="preserve">Tā kā VID neatbalsta </w:t>
            </w:r>
            <w:proofErr w:type="gramStart"/>
            <w:r w:rsidRPr="003C35B2">
              <w:t>19.panta</w:t>
            </w:r>
            <w:proofErr w:type="gramEnd"/>
            <w:r w:rsidRPr="003C35B2">
              <w:t xml:space="preserve"> septītās daļas un 23.panta piektās daļas iekļaušanu likumprojektā, lūdzam svītrot  Likumprojekta 24. panta ceturto daļu.</w:t>
            </w:r>
          </w:p>
          <w:p w14:paraId="3E00F8AA" w14:textId="77777777" w:rsidR="00F1401E" w:rsidRPr="003C35B2" w:rsidRDefault="00F1401E" w:rsidP="00005B63">
            <w:pPr>
              <w:tabs>
                <w:tab w:val="left" w:pos="0"/>
                <w:tab w:val="left" w:pos="5529"/>
              </w:tabs>
              <w:jc w:val="both"/>
            </w:pPr>
            <w:r w:rsidRPr="003C35B2">
              <w:t xml:space="preserve">Ja Finanšu ministrijas ieskatā ir atbalstāma Likumprojekta </w:t>
            </w:r>
            <w:proofErr w:type="gramStart"/>
            <w:r w:rsidRPr="003C35B2">
              <w:t>19.panta</w:t>
            </w:r>
            <w:proofErr w:type="gramEnd"/>
            <w:r w:rsidRPr="003C35B2">
              <w:t xml:space="preserve"> septītā daļa, tad iesakām Likumprojekta 24. panta ceturto daļu izteikt šādā redakcijā “Administratīvā pārkāpuma procesu par šā likuma 19.panta septītajā daļā minētajiem pārkāpumiem līdz administratīvā pārkāpuma lietas izskatīšanai veic Latvijas proves birojs. Administratīvā pārkāpuma lietu izskata Valsts ieņēmumu dienests.”</w:t>
            </w:r>
          </w:p>
          <w:p w14:paraId="46506933" w14:textId="77777777" w:rsidR="00F1401E" w:rsidRPr="003C35B2" w:rsidRDefault="00F1401E" w:rsidP="00005B63">
            <w:pPr>
              <w:tabs>
                <w:tab w:val="left" w:pos="0"/>
                <w:tab w:val="left" w:pos="5529"/>
              </w:tabs>
              <w:jc w:val="both"/>
            </w:pPr>
          </w:p>
          <w:p w14:paraId="15E0A265" w14:textId="77777777" w:rsidR="00F1401E" w:rsidRPr="003C35B2" w:rsidRDefault="00F1401E" w:rsidP="00005B63">
            <w:pPr>
              <w:tabs>
                <w:tab w:val="left" w:pos="0"/>
                <w:tab w:val="left" w:pos="5529"/>
              </w:tabs>
              <w:jc w:val="both"/>
            </w:pPr>
            <w:r w:rsidRPr="003C35B2">
              <w:t>Norādām, ka Likumprojekta sākotnējās ietekmes novērtējuma ziņojumā (anotācijā) kā iesaistītā institūcija nav norādīta Finanšu ministrija. Tādējādi ir nepieciešams atbilstoši papildināt anotāciju.</w:t>
            </w:r>
          </w:p>
          <w:p w14:paraId="65C2C080" w14:textId="77777777" w:rsidR="00F1401E" w:rsidRPr="003C35B2" w:rsidRDefault="00F1401E" w:rsidP="00005B63">
            <w:pPr>
              <w:tabs>
                <w:tab w:val="left" w:pos="0"/>
              </w:tabs>
              <w:jc w:val="both"/>
            </w:pPr>
          </w:p>
          <w:p w14:paraId="7B5FD719" w14:textId="77777777" w:rsidR="00F1401E" w:rsidRPr="003C35B2" w:rsidRDefault="00F1401E" w:rsidP="00005B63">
            <w:pPr>
              <w:tabs>
                <w:tab w:val="left" w:pos="0"/>
              </w:tabs>
              <w:jc w:val="both"/>
            </w:pPr>
            <w:r w:rsidRPr="003C35B2">
              <w:t xml:space="preserve">Vienlaikus informējam, ka Valsts ieņēmumu dienests ir konstatējis, ka ir nepieciešams pārskatīt Ķīmisko vielu likumu, lai nodrošinātu Regula 1005/2009 normu piemērošanu Latvijā. </w:t>
            </w:r>
          </w:p>
          <w:p w14:paraId="26CBC9CD" w14:textId="77777777" w:rsidR="00F1401E" w:rsidRPr="003C35B2" w:rsidRDefault="00F1401E" w:rsidP="00F1401E">
            <w:pPr>
              <w:pStyle w:val="ListParagraph"/>
              <w:ind w:left="0"/>
              <w:contextualSpacing w:val="0"/>
              <w:jc w:val="both"/>
              <w:rPr>
                <w:szCs w:val="20"/>
              </w:rPr>
            </w:pPr>
          </w:p>
          <w:p w14:paraId="730990B7" w14:textId="77777777" w:rsidR="00F1401E" w:rsidRPr="003C35B2" w:rsidRDefault="00F1401E" w:rsidP="00005B63">
            <w:pPr>
              <w:pStyle w:val="ListParagraph"/>
              <w:ind w:left="0"/>
              <w:contextualSpacing w:val="0"/>
              <w:jc w:val="both"/>
              <w:rPr>
                <w:szCs w:val="20"/>
              </w:rPr>
            </w:pPr>
            <w:r w:rsidRPr="003C35B2">
              <w:rPr>
                <w:szCs w:val="20"/>
              </w:rPr>
              <w:t>Saskaņā ar Ķīmisko vielu likuma 4. panta sesto daļu ievestās bīstamās ķīmiskās vielas un bīstamos maisījumus, kuriem ir noteikti īpaši ierobežojumi vai aizliegumi, kā arī šīs bīstamās ķīmiskās vielas saturošus būvizstrādājumus, uz valsts (muitas) robežas kontrolē VID</w:t>
            </w:r>
          </w:p>
          <w:p w14:paraId="5101B51D" w14:textId="77777777" w:rsidR="00F1401E" w:rsidRPr="003C35B2" w:rsidRDefault="00F1401E" w:rsidP="00005B63">
            <w:pPr>
              <w:jc w:val="both"/>
            </w:pPr>
          </w:p>
          <w:p w14:paraId="498E0475" w14:textId="77777777" w:rsidR="00F1401E" w:rsidRPr="003C35B2" w:rsidRDefault="00F1401E" w:rsidP="00005B63">
            <w:pPr>
              <w:jc w:val="both"/>
            </w:pPr>
            <w:r w:rsidRPr="003C35B2">
              <w:t xml:space="preserve">Saskaņā ar Ķīmisko vielu likuma 16. panta trešo daļu Ministru kabinets nosaka atbildīgās institūcijas darbībām ar ozona slāni noārdošām vielām un </w:t>
            </w:r>
            <w:proofErr w:type="spellStart"/>
            <w:r w:rsidRPr="003C35B2">
              <w:t>fluorētām</w:t>
            </w:r>
            <w:proofErr w:type="spellEnd"/>
            <w:r w:rsidRPr="003C35B2">
              <w:t xml:space="preserve"> siltumnīcefekta gāzēm. </w:t>
            </w:r>
          </w:p>
          <w:p w14:paraId="684DDE0F" w14:textId="77777777" w:rsidR="00F1401E" w:rsidRPr="003C35B2" w:rsidRDefault="00F1401E" w:rsidP="00005B63">
            <w:pPr>
              <w:jc w:val="both"/>
            </w:pPr>
            <w:r w:rsidRPr="003C35B2">
              <w:t xml:space="preserve">Vēršam uzmanību, ka saskaņā ar Ministru kabineta 2011. gada 12. jūlija noteikumiem Nr. 563 “Noteikumi par īpašiem ierobežojumiem un aizliegumiem attiecībā uz darbībām ar ozona slāni noārdošām vielām un </w:t>
            </w:r>
            <w:proofErr w:type="spellStart"/>
            <w:r w:rsidRPr="003C35B2">
              <w:t>fluorētām</w:t>
            </w:r>
            <w:proofErr w:type="spellEnd"/>
            <w:r w:rsidRPr="003C35B2">
              <w:t xml:space="preserve"> siltumnīcefekta gāzēm” Valsts ieņēmumu dienests kontrolē tikai regulas Nr. 1005/2009 15. panta 1., 2. un 3.punktā, 17. panta 1., 2. un 4. punktā un 20. panta 1. punktā noteikto prasību izpildi un katru gadu līdz </w:t>
            </w:r>
            <w:proofErr w:type="gramStart"/>
            <w:r w:rsidRPr="003C35B2">
              <w:t>1.martam</w:t>
            </w:r>
            <w:proofErr w:type="gramEnd"/>
            <w:r w:rsidRPr="003C35B2">
              <w:t xml:space="preserve"> iesniedz Vides aizsardzības un reģionālās attīstības ministrijā pārskatu par veiktajiem kontroles pasākumiem un to rezultātiem.</w:t>
            </w:r>
          </w:p>
          <w:p w14:paraId="0E4CD253" w14:textId="77777777" w:rsidR="00F1401E" w:rsidRPr="003C35B2" w:rsidRDefault="00F1401E" w:rsidP="00F1401E"/>
          <w:p w14:paraId="342D6AB5" w14:textId="77777777" w:rsidR="00F1401E" w:rsidRPr="003C35B2" w:rsidRDefault="00F1401E" w:rsidP="00005B63">
            <w:pPr>
              <w:jc w:val="both"/>
            </w:pPr>
            <w:r w:rsidRPr="003C35B2">
              <w:t xml:space="preserve">Informējam, ka Latvijas Republikā nav noteikta kompetentā iestāde iepriekš minēto normatīvo aktu piemērošanai, ja uzraudzības pasākumi ķīmisko vielu likumīgai pārvietošanai tiek nodrošināti, īstenojot muitas kontroles pasākumus. </w:t>
            </w:r>
          </w:p>
          <w:p w14:paraId="4D637034" w14:textId="77777777" w:rsidR="00F1401E" w:rsidRPr="003C35B2" w:rsidRDefault="00F1401E" w:rsidP="00005B63">
            <w:pPr>
              <w:jc w:val="both"/>
            </w:pPr>
          </w:p>
          <w:p w14:paraId="462E4B8F" w14:textId="7AD45B8B" w:rsidR="00F1401E" w:rsidRPr="00B324B0" w:rsidRDefault="00F1401E" w:rsidP="00005B63">
            <w:pPr>
              <w:jc w:val="both"/>
            </w:pPr>
            <w:r w:rsidRPr="003C35B2">
              <w:t>Ņemot vērā minēto, lūdzam papildināt Likumprojektu ar attiecīgajām tiesību normām.</w:t>
            </w:r>
          </w:p>
        </w:tc>
        <w:tc>
          <w:tcPr>
            <w:tcW w:w="3799" w:type="dxa"/>
          </w:tcPr>
          <w:p w14:paraId="552B1C3B" w14:textId="77777777" w:rsidR="00F1401E" w:rsidRDefault="00F1401E" w:rsidP="00F1401E">
            <w:pPr>
              <w:jc w:val="both"/>
              <w:rPr>
                <w:rStyle w:val="normaltextrun"/>
                <w:b/>
                <w:bCs/>
              </w:rPr>
            </w:pPr>
            <w:r w:rsidRPr="00503CDB">
              <w:rPr>
                <w:rStyle w:val="normaltextrun"/>
                <w:b/>
                <w:bCs/>
              </w:rPr>
              <w:t>Iebildums ņemts vērā</w:t>
            </w:r>
            <w:r>
              <w:rPr>
                <w:rStyle w:val="normaltextrun"/>
                <w:b/>
                <w:bCs/>
              </w:rPr>
              <w:t xml:space="preserve"> pēc elektroniskās saskaņošanas</w:t>
            </w:r>
            <w:r w:rsidRPr="00503CDB">
              <w:rPr>
                <w:rStyle w:val="normaltextrun"/>
                <w:b/>
                <w:bCs/>
              </w:rPr>
              <w:t>.</w:t>
            </w:r>
          </w:p>
          <w:p w14:paraId="5145C472" w14:textId="77777777" w:rsidR="00280C7A" w:rsidRDefault="00280C7A" w:rsidP="00280C7A">
            <w:pPr>
              <w:jc w:val="both"/>
              <w:rPr>
                <w:rStyle w:val="normaltextrun"/>
              </w:rPr>
            </w:pPr>
          </w:p>
          <w:p w14:paraId="54C84CD9" w14:textId="4342AB6F" w:rsidR="00F1401E" w:rsidRPr="00371588" w:rsidRDefault="00F1401E" w:rsidP="00280C7A">
            <w:pPr>
              <w:jc w:val="both"/>
              <w:rPr>
                <w:rStyle w:val="normaltextrun"/>
              </w:rPr>
            </w:pPr>
            <w:r w:rsidRPr="00280C7A">
              <w:rPr>
                <w:rStyle w:val="normaltextrun"/>
              </w:rPr>
              <w:t>Sk. arī</w:t>
            </w:r>
            <w:r w:rsidR="00280C7A" w:rsidRPr="00280C7A">
              <w:rPr>
                <w:rStyle w:val="normaltextrun"/>
              </w:rPr>
              <w:t xml:space="preserve"> izziņas 7., 9</w:t>
            </w:r>
            <w:r w:rsidR="00846E46">
              <w:rPr>
                <w:rStyle w:val="normaltextrun"/>
              </w:rPr>
              <w:t>. un 10. punktu.</w:t>
            </w:r>
          </w:p>
        </w:tc>
        <w:tc>
          <w:tcPr>
            <w:tcW w:w="3431" w:type="dxa"/>
          </w:tcPr>
          <w:p w14:paraId="1C17B0D6" w14:textId="77777777" w:rsidR="00F1401E" w:rsidRPr="004F6A63" w:rsidRDefault="00F1401E" w:rsidP="00F1401E">
            <w:pPr>
              <w:pStyle w:val="BodyTextIndent"/>
              <w:ind w:right="57" w:firstLine="0"/>
              <w:rPr>
                <w:b/>
                <w:szCs w:val="24"/>
              </w:rPr>
            </w:pPr>
            <w:r w:rsidRPr="004F6A63">
              <w:rPr>
                <w:rFonts w:eastAsia="Calibri"/>
                <w:szCs w:val="24"/>
                <w:lang w:eastAsia="en-US"/>
              </w:rPr>
              <w:t>“</w:t>
            </w:r>
            <w:r w:rsidRPr="004F6A63">
              <w:rPr>
                <w:b/>
                <w:szCs w:val="24"/>
              </w:rPr>
              <w:t>24. pants. Kompetence administratīvo pārkāpumu procesā</w:t>
            </w:r>
          </w:p>
          <w:p w14:paraId="23390623" w14:textId="734F5A57" w:rsidR="00F1401E" w:rsidRPr="00371588" w:rsidRDefault="00846E46" w:rsidP="00F1401E">
            <w:pPr>
              <w:pStyle w:val="BodyTextIndent"/>
              <w:ind w:right="57" w:firstLine="0"/>
              <w:rPr>
                <w:rFonts w:eastAsia="Calibri"/>
                <w:highlight w:val="green"/>
                <w:lang w:eastAsia="en-US"/>
              </w:rPr>
            </w:pPr>
            <w:r>
              <w:rPr>
                <w:color w:val="000000" w:themeColor="text1"/>
              </w:rPr>
              <w:t>(4) </w:t>
            </w:r>
            <w:r w:rsidR="00F1401E" w:rsidRPr="004F6A63">
              <w:rPr>
                <w:color w:val="000000" w:themeColor="text1"/>
              </w:rPr>
              <w:t>Administratīvā pārkāpuma procesu par šā likuma 19. panta septītajā daļā minētajiem pārkāpumiem dārgmetālu, dārgakmeņu un to izstrādājumu apritē veic Valsts ieņēmumu dienests.”</w:t>
            </w:r>
          </w:p>
        </w:tc>
      </w:tr>
      <w:tr w:rsidR="00F1401E" w:rsidRPr="00371588" w14:paraId="0122930B" w14:textId="77777777" w:rsidTr="65362092">
        <w:tc>
          <w:tcPr>
            <w:tcW w:w="846" w:type="dxa"/>
          </w:tcPr>
          <w:p w14:paraId="2E6C4A43" w14:textId="730A2B0F" w:rsidR="00F1401E" w:rsidRPr="008E660F" w:rsidRDefault="00F1401E" w:rsidP="00DD7A3F">
            <w:pPr>
              <w:pStyle w:val="naisf"/>
              <w:spacing w:before="0" w:after="0"/>
              <w:ind w:firstLine="0"/>
              <w:jc w:val="center"/>
            </w:pPr>
            <w:r w:rsidRPr="008E660F">
              <w:t>1</w:t>
            </w:r>
            <w:r w:rsidR="00DD7A3F">
              <w:t>3</w:t>
            </w:r>
            <w:r w:rsidRPr="008E660F">
              <w:t>.</w:t>
            </w:r>
          </w:p>
        </w:tc>
        <w:tc>
          <w:tcPr>
            <w:tcW w:w="2410" w:type="dxa"/>
          </w:tcPr>
          <w:p w14:paraId="0B69B16D" w14:textId="1483539E" w:rsidR="00F1401E" w:rsidRPr="003C35B2" w:rsidRDefault="00F1401E" w:rsidP="00F1401E">
            <w:pPr>
              <w:jc w:val="both"/>
            </w:pPr>
            <w:r w:rsidRPr="003C35B2">
              <w:t>Anotācija</w:t>
            </w:r>
            <w:r>
              <w:t>s III sadaļa “Tiesību akta projekta ietekme uz valsts budžetu un pašvaldību budžetiem”</w:t>
            </w:r>
          </w:p>
        </w:tc>
        <w:tc>
          <w:tcPr>
            <w:tcW w:w="4110" w:type="dxa"/>
          </w:tcPr>
          <w:p w14:paraId="2EAD4667" w14:textId="77777777" w:rsidR="00F1401E" w:rsidRDefault="00F1401E" w:rsidP="00F1401E">
            <w:pPr>
              <w:rPr>
                <w:b/>
                <w:bCs/>
              </w:rPr>
            </w:pPr>
            <w:r>
              <w:rPr>
                <w:b/>
                <w:bCs/>
              </w:rPr>
              <w:t>Finanšu ministrijas 2019. gada 1</w:t>
            </w:r>
            <w:r w:rsidRPr="000B2D23">
              <w:rPr>
                <w:b/>
                <w:bCs/>
              </w:rPr>
              <w:t>. </w:t>
            </w:r>
            <w:r>
              <w:rPr>
                <w:b/>
                <w:bCs/>
              </w:rPr>
              <w:t>oktobra</w:t>
            </w:r>
            <w:r w:rsidRPr="000B2D23">
              <w:rPr>
                <w:b/>
                <w:bCs/>
              </w:rPr>
              <w:t xml:space="preserve"> atzinums Nr</w:t>
            </w:r>
            <w:r w:rsidRPr="00337FE1">
              <w:rPr>
                <w:b/>
                <w:bCs/>
              </w:rPr>
              <w:t>.</w:t>
            </w:r>
            <w:r>
              <w:rPr>
                <w:b/>
                <w:bCs/>
              </w:rPr>
              <w:t xml:space="preserve"> 12/A-7/4593</w:t>
            </w:r>
          </w:p>
          <w:p w14:paraId="4E41B079" w14:textId="77777777" w:rsidR="00005B63" w:rsidRDefault="00005B63" w:rsidP="00F1401E">
            <w:pPr>
              <w:rPr>
                <w:b/>
                <w:bCs/>
              </w:rPr>
            </w:pPr>
          </w:p>
          <w:p w14:paraId="70C86834" w14:textId="2907DD79" w:rsidR="00F1401E" w:rsidRPr="00B324B0" w:rsidRDefault="00F1401E" w:rsidP="00005B63">
            <w:pPr>
              <w:jc w:val="both"/>
            </w:pPr>
            <w:r>
              <w:t xml:space="preserve">4. Ņemot vērā to, ka likumprojektā ietvertie grozījumi paredz papildināt likumu ar jaunām nodaļām, kurās atsevišķiem sodu veidiem tiek noteikti lielāki sodu apmēri nekā šobrīd spēkā esošie saskaņā ar Latvijas Administratīvo pārkāpumu kodeksā noteikto, lūdzam aizpildīt anotācijas III sadaļu “Tiesību akta projekta ietekme uz valsts budžetu un pašvaldību budžetiem” atbilstoši Ministru kabineta </w:t>
            </w:r>
            <w:proofErr w:type="gramStart"/>
            <w:r>
              <w:t>2009.gada</w:t>
            </w:r>
            <w:proofErr w:type="gramEnd"/>
            <w:r>
              <w:t xml:space="preserve"> 15.decembra instrukcijai Nr.19 “Tiesību akta projekta sākotnējās ietekmes izvērtēšanas kārtība”, nepieciešamības gadījumā piemērojot minētās instrukcijas 33.punktā noteikto.</w:t>
            </w:r>
          </w:p>
        </w:tc>
        <w:tc>
          <w:tcPr>
            <w:tcW w:w="3799" w:type="dxa"/>
          </w:tcPr>
          <w:p w14:paraId="13C2B28A" w14:textId="77777777" w:rsidR="00F1401E" w:rsidRPr="001B3F46" w:rsidRDefault="00F1401E" w:rsidP="00F1401E">
            <w:pPr>
              <w:jc w:val="both"/>
              <w:rPr>
                <w:rStyle w:val="normaltextrun"/>
                <w:b/>
              </w:rPr>
            </w:pPr>
            <w:r w:rsidRPr="001B3F46">
              <w:rPr>
                <w:rStyle w:val="normaltextrun"/>
                <w:b/>
              </w:rPr>
              <w:t>Iebildums ņemts vērā.</w:t>
            </w:r>
          </w:p>
          <w:p w14:paraId="79E0F21E" w14:textId="77777777" w:rsidR="00F1401E" w:rsidRDefault="00F1401E" w:rsidP="00F1401E">
            <w:pPr>
              <w:jc w:val="both"/>
              <w:rPr>
                <w:rStyle w:val="normaltextrun"/>
              </w:rPr>
            </w:pPr>
          </w:p>
          <w:p w14:paraId="53528947" w14:textId="583F91BC" w:rsidR="00F1401E" w:rsidRPr="00371588" w:rsidRDefault="00F1401E" w:rsidP="00F1401E">
            <w:pPr>
              <w:jc w:val="both"/>
              <w:rPr>
                <w:rStyle w:val="normaltextrun"/>
              </w:rPr>
            </w:pPr>
            <w:r>
              <w:t xml:space="preserve">Anotācijas III sadaļa papildināta. </w:t>
            </w:r>
          </w:p>
        </w:tc>
        <w:tc>
          <w:tcPr>
            <w:tcW w:w="3431" w:type="dxa"/>
          </w:tcPr>
          <w:p w14:paraId="20694256" w14:textId="77777777" w:rsidR="00F1401E" w:rsidRPr="00371588" w:rsidRDefault="00F1401E" w:rsidP="00F1401E">
            <w:pPr>
              <w:pStyle w:val="BodyTextIndent"/>
              <w:ind w:right="57" w:firstLine="0"/>
              <w:rPr>
                <w:rFonts w:eastAsia="Calibri"/>
                <w:highlight w:val="green"/>
                <w:lang w:eastAsia="en-US"/>
              </w:rPr>
            </w:pPr>
          </w:p>
        </w:tc>
      </w:tr>
      <w:tr w:rsidR="00F1401E" w:rsidRPr="00371588" w14:paraId="4F260617" w14:textId="77777777" w:rsidTr="65362092">
        <w:tc>
          <w:tcPr>
            <w:tcW w:w="846" w:type="dxa"/>
          </w:tcPr>
          <w:p w14:paraId="266FD082" w14:textId="1B2C50C8" w:rsidR="00F1401E" w:rsidRPr="008E660F" w:rsidRDefault="00F1401E" w:rsidP="00DD7A3F">
            <w:pPr>
              <w:pStyle w:val="naisf"/>
              <w:spacing w:before="0" w:after="0"/>
              <w:ind w:firstLine="0"/>
              <w:jc w:val="center"/>
            </w:pPr>
            <w:r w:rsidRPr="008E660F">
              <w:t>1</w:t>
            </w:r>
            <w:r w:rsidR="00DD7A3F">
              <w:t>4</w:t>
            </w:r>
            <w:r w:rsidRPr="008E660F">
              <w:t>.</w:t>
            </w:r>
          </w:p>
        </w:tc>
        <w:tc>
          <w:tcPr>
            <w:tcW w:w="2410" w:type="dxa"/>
          </w:tcPr>
          <w:p w14:paraId="02033640" w14:textId="6BA91A60" w:rsidR="00F1401E" w:rsidRDefault="00F1401E" w:rsidP="00F1401E">
            <w:pPr>
              <w:jc w:val="both"/>
            </w:pPr>
            <w:r>
              <w:t xml:space="preserve">Likumprojekta 4. pantā </w:t>
            </w:r>
            <w:r w:rsidRPr="003C35B2">
              <w:t>(iepriekš 3. pantā)</w:t>
            </w:r>
            <w:r>
              <w:t xml:space="preserve"> paredzētā </w:t>
            </w:r>
            <w:r w:rsidRPr="00925DA5">
              <w:t>likuma 24.</w:t>
            </w:r>
            <w:r>
              <w:t> </w:t>
            </w:r>
            <w:r w:rsidRPr="00925DA5">
              <w:t>panta piekt</w:t>
            </w:r>
            <w:r>
              <w:t>ā</w:t>
            </w:r>
            <w:r w:rsidRPr="00925DA5">
              <w:t xml:space="preserve"> daļ</w:t>
            </w:r>
            <w:r>
              <w:t xml:space="preserve">a: </w:t>
            </w:r>
          </w:p>
          <w:p w14:paraId="6A060245" w14:textId="77777777" w:rsidR="00F1401E" w:rsidRPr="00B40535" w:rsidRDefault="00F1401E" w:rsidP="00F1401E">
            <w:pPr>
              <w:jc w:val="both"/>
              <w:rPr>
                <w:b/>
                <w:color w:val="FF0000"/>
              </w:rPr>
            </w:pPr>
            <w:r w:rsidRPr="00B40535">
              <w:rPr>
                <w:b/>
              </w:rPr>
              <w:t>“24. pants. Kompetence administratīvo pārkāpumu procesā</w:t>
            </w:r>
          </w:p>
          <w:p w14:paraId="2A9ED7F5" w14:textId="45D22E2C" w:rsidR="00F1401E" w:rsidRPr="003370F8" w:rsidRDefault="00F1401E" w:rsidP="00F1401E">
            <w:pPr>
              <w:pStyle w:val="tv213"/>
              <w:shd w:val="clear" w:color="auto" w:fill="FFFFFF" w:themeFill="background1"/>
              <w:spacing w:before="120" w:beforeAutospacing="0" w:after="120" w:afterAutospacing="0" w:line="293" w:lineRule="atLeast"/>
              <w:jc w:val="both"/>
            </w:pPr>
            <w:r w:rsidRPr="003370F8">
              <w:t>(5) Administratīvo pārkāpumu procesu par šā likuma 19. panta otrajā daļā attiecībā uz reklāmu, 19. panta trešajā un sestajā daļā attiecībā uz ķīmiskām vielām tirdzniecībā esošajos izstrādājumos un tirdzniecībā esošiem apstrādātiem izstrādājumiem, 20. panta sestajā daļā par informācijas nenodošanu par vielām izstrādājumos, 23. panta trešajā un sestajā daļā minētajiem pārkāpumiem veic Patērētāju tiesību aizsardzības centrs.”</w:t>
            </w:r>
          </w:p>
        </w:tc>
        <w:tc>
          <w:tcPr>
            <w:tcW w:w="4110" w:type="dxa"/>
          </w:tcPr>
          <w:p w14:paraId="0716F469" w14:textId="08246D73" w:rsidR="00F1401E" w:rsidRPr="00925DA5" w:rsidRDefault="00F1401E" w:rsidP="00F1401E">
            <w:pPr>
              <w:spacing w:before="100" w:beforeAutospacing="1" w:after="100" w:afterAutospacing="1"/>
              <w:rPr>
                <w:b/>
                <w:bCs/>
              </w:rPr>
            </w:pPr>
            <w:r w:rsidRPr="00925DA5">
              <w:rPr>
                <w:b/>
                <w:bCs/>
              </w:rPr>
              <w:t>Ekonomikas ministrijas 2019. gada 30. septembra atzinums Nr. 3.1-20/2019/255</w:t>
            </w:r>
          </w:p>
          <w:p w14:paraId="4950CB2B" w14:textId="77777777" w:rsidR="00F1401E" w:rsidRPr="00925DA5" w:rsidRDefault="00F1401E" w:rsidP="00F1401E">
            <w:pPr>
              <w:jc w:val="both"/>
            </w:pPr>
            <w:r w:rsidRPr="00925DA5">
              <w:t xml:space="preserve">[1] Likumprojekta 3.punkts paredz ar likuma </w:t>
            </w:r>
            <w:proofErr w:type="gramStart"/>
            <w:r w:rsidRPr="00925DA5">
              <w:t>24.panta</w:t>
            </w:r>
            <w:proofErr w:type="gramEnd"/>
            <w:r w:rsidRPr="00925DA5">
              <w:t xml:space="preserve"> piekto daļu noteikt, ka administratīvo pārkāpumu procesu par šā likuma 19.panta otrajā daļā minētajiem pārkāpumiem attiecībā uz reklāmu veic Patērētāju tiesību aizsardzības centrs (turpmāk – PTAC).</w:t>
            </w:r>
          </w:p>
          <w:p w14:paraId="0609E33E" w14:textId="77777777" w:rsidR="00F1401E" w:rsidRDefault="00F1401E" w:rsidP="00F1401E">
            <w:pPr>
              <w:jc w:val="both"/>
            </w:pPr>
          </w:p>
          <w:p w14:paraId="3B8F1671" w14:textId="77777777" w:rsidR="00F1401E" w:rsidRPr="00925DA5" w:rsidRDefault="00F1401E" w:rsidP="00F1401E">
            <w:pPr>
              <w:jc w:val="both"/>
            </w:pPr>
            <w:r w:rsidRPr="00925DA5">
              <w:t xml:space="preserve">Likuma </w:t>
            </w:r>
            <w:proofErr w:type="gramStart"/>
            <w:r w:rsidRPr="00925DA5">
              <w:t>19.panta</w:t>
            </w:r>
            <w:proofErr w:type="gramEnd"/>
            <w:r w:rsidRPr="00925DA5">
              <w:t xml:space="preserve"> otrā daļa paredz atbildību par normatīvo aktu prasību pārkāpšanu, veicot darbības ar ķīmiskajām vielām vai maisījumiem. Savukārt Likumprojekta anotācijā iekļauta norāde, ka </w:t>
            </w:r>
            <w:proofErr w:type="gramStart"/>
            <w:r w:rsidRPr="00925DA5">
              <w:t>19.panta</w:t>
            </w:r>
            <w:proofErr w:type="gramEnd"/>
            <w:r w:rsidRPr="00925DA5">
              <w:t xml:space="preserve"> otrā daļa ir pārņemta no Latvijas Administratīvo pārkāpumu kodeksa (turpmāk – LAPK) 88.panta pirmās daļas. </w:t>
            </w:r>
          </w:p>
          <w:p w14:paraId="7B5CB1D5" w14:textId="16F36548" w:rsidR="00F1401E" w:rsidRPr="00925DA5" w:rsidRDefault="00F1401E" w:rsidP="00F1401E">
            <w:pPr>
              <w:jc w:val="both"/>
            </w:pPr>
            <w:r w:rsidRPr="00925DA5">
              <w:t xml:space="preserve">Ņemot vērā minēto, Ekonomikas ministrija vēlas norādīt, ka pašlaik PTAC kompetencē neietilpst LAPK </w:t>
            </w:r>
            <w:proofErr w:type="gramStart"/>
            <w:r w:rsidRPr="00925DA5">
              <w:t>88.panta</w:t>
            </w:r>
            <w:proofErr w:type="gramEnd"/>
            <w:r w:rsidRPr="00925DA5">
              <w:t xml:space="preserve"> pirmās daļas piemērošana. Tāpat vēršam uzmanību, ka likuma </w:t>
            </w:r>
            <w:proofErr w:type="gramStart"/>
            <w:r w:rsidRPr="00925DA5">
              <w:t>4.panta</w:t>
            </w:r>
            <w:proofErr w:type="gramEnd"/>
            <w:r w:rsidRPr="00925DA5">
              <w:t xml:space="preserve"> 6.</w:t>
            </w:r>
            <w:r w:rsidRPr="00925DA5">
              <w:rPr>
                <w:vertAlign w:val="superscript"/>
              </w:rPr>
              <w:t xml:space="preserve">1 </w:t>
            </w:r>
            <w:r w:rsidRPr="00925DA5">
              <w:t xml:space="preserve">daļa nosaka PTAC kompetenci kontrolēt ķīmiskās vielas izstrādājumos atbilstoši REACH Regulai un apstrādātus izstrādājumus. Līdz ar to norādām, ka PTAC kompetencē neietilpst pašu ķīmisko vielu un maisījumu uzraudzīšana, proti, PTAC kontrolē, vai ķīmiskās vielas izstrādājumos nepārsniedz to pieļaujamās normas. </w:t>
            </w:r>
          </w:p>
          <w:p w14:paraId="1F7C9721" w14:textId="77777777" w:rsidR="00F1401E" w:rsidRDefault="00F1401E" w:rsidP="00F1401E">
            <w:pPr>
              <w:jc w:val="both"/>
            </w:pPr>
          </w:p>
          <w:p w14:paraId="2E1F2ED8" w14:textId="217932FC" w:rsidR="00F1401E" w:rsidRPr="00925DA5" w:rsidRDefault="00F1401E" w:rsidP="00F1401E">
            <w:pPr>
              <w:jc w:val="both"/>
            </w:pPr>
            <w:r w:rsidRPr="00925DA5">
              <w:t xml:space="preserve">Vienlaikus Ekonomikas ministrija uzskata, ka Likumprojekta anotācijā iekļautā norāde par PTAC vispārējo kompetenci reklāmas uzraudzības jomā rada vai var radīt neskaidrību par attiecīgās jomas uzraudzības kompetenci, kā arī sniedz likuma </w:t>
            </w:r>
            <w:proofErr w:type="gramStart"/>
            <w:r w:rsidRPr="00925DA5">
              <w:t>19.panta</w:t>
            </w:r>
            <w:proofErr w:type="gramEnd"/>
            <w:r w:rsidRPr="00925DA5">
              <w:t xml:space="preserve"> un CLP Regulas saturam neatbilstošu skaidrojumu. Arī Likumprojekta anotācijas I sadaļas 2. punktā iekļautās rindkopas nosaukums </w:t>
            </w:r>
            <w:r w:rsidRPr="00925DA5">
              <w:rPr>
                <w:i/>
                <w:iCs/>
              </w:rPr>
              <w:t xml:space="preserve">„Likumprojekta </w:t>
            </w:r>
            <w:proofErr w:type="gramStart"/>
            <w:r w:rsidRPr="00925DA5">
              <w:rPr>
                <w:i/>
                <w:iCs/>
              </w:rPr>
              <w:t>19.panta</w:t>
            </w:r>
            <w:proofErr w:type="gramEnd"/>
            <w:r w:rsidRPr="00925DA5">
              <w:rPr>
                <w:i/>
                <w:iCs/>
              </w:rPr>
              <w:t xml:space="preserve"> otrā daļa pārņem:”</w:t>
            </w:r>
            <w:r w:rsidRPr="00925DA5">
              <w:t xml:space="preserve"> rada neskaidrību. Likuma </w:t>
            </w:r>
            <w:proofErr w:type="gramStart"/>
            <w:r w:rsidRPr="00925DA5">
              <w:t>19.panta</w:t>
            </w:r>
            <w:proofErr w:type="gramEnd"/>
            <w:r w:rsidRPr="00925DA5">
              <w:t xml:space="preserve"> otrā daļa paredz regulējumu saistībā ar pārkāpumiem, kas attiecināmi uz „darbībām ar ķīmiskajām vielām vai maisījumiem”. Līdz ar to minētā tiesību norma ir vērsta uz darbībām, kuras tiek veiktas tiešā veidā, izmantojot attiecīgās ķīmiskās vielas vai maisījumus. Savukārt reklāma ir rīcība, kas saistīta nevis ar ķīmisku vielu izmantošanu, bet gan ar to popularizēšanu un pieprasījuma veicināšanu pēc tām. </w:t>
            </w:r>
          </w:p>
          <w:p w14:paraId="09BE8497" w14:textId="77777777" w:rsidR="00F1401E" w:rsidRDefault="00F1401E" w:rsidP="00F1401E">
            <w:pPr>
              <w:jc w:val="both"/>
            </w:pPr>
          </w:p>
          <w:p w14:paraId="7D54CEAF" w14:textId="77777777" w:rsidR="00F1401E" w:rsidRPr="00925DA5" w:rsidRDefault="00F1401E" w:rsidP="00F1401E">
            <w:pPr>
              <w:jc w:val="both"/>
            </w:pPr>
            <w:r w:rsidRPr="00925DA5">
              <w:t xml:space="preserve">Papildus minētajam Ekonomikas ministrija norāda, ka CLP Regulas </w:t>
            </w:r>
            <w:proofErr w:type="gramStart"/>
            <w:r w:rsidRPr="00925DA5">
              <w:t>48.panta</w:t>
            </w:r>
            <w:proofErr w:type="gramEnd"/>
            <w:r w:rsidRPr="00925DA5">
              <w:t xml:space="preserve"> prasības par reklāmu ir attiecināmas tikai uz tādas vielas vai maisījuma reklāmu, kurš klasificēts kā bīstams vai kura marķējumam jāatbilst CLP Regulas 25.pantam. </w:t>
            </w:r>
          </w:p>
          <w:p w14:paraId="6CF13FC9" w14:textId="77777777" w:rsidR="00F1401E" w:rsidRDefault="00F1401E" w:rsidP="00F1401E">
            <w:pPr>
              <w:jc w:val="both"/>
            </w:pPr>
          </w:p>
          <w:p w14:paraId="2ACF90FC" w14:textId="2127C08A" w:rsidR="00F1401E" w:rsidRPr="00925DA5" w:rsidRDefault="00F1401E" w:rsidP="00F1401E">
            <w:pPr>
              <w:jc w:val="both"/>
            </w:pPr>
            <w:r w:rsidRPr="00925DA5">
              <w:t xml:space="preserve">Ņemot </w:t>
            </w:r>
            <w:r w:rsidRPr="003370F8">
              <w:t xml:space="preserve">vērā minēto, Ekonomikas ministrija lūdz precizēt Likumprojekta 3.punktā ietverto likuma </w:t>
            </w:r>
            <w:proofErr w:type="gramStart"/>
            <w:r w:rsidRPr="003370F8">
              <w:t>24.panta</w:t>
            </w:r>
            <w:proofErr w:type="gramEnd"/>
            <w:r w:rsidRPr="003370F8">
              <w:t xml:space="preserve"> piektās daļas redakciju, izslēdzot no PTAC kompetences administratīvā pārkāpuma procesa veikšanu par likuma 19.panta otrajā daļā minētajiem pārkāpumiem attiecībā uz reklāmu. Attiecīgi lūdzam precizēt arī Likumprojekta anotāciju.</w:t>
            </w:r>
          </w:p>
        </w:tc>
        <w:tc>
          <w:tcPr>
            <w:tcW w:w="3799" w:type="dxa"/>
          </w:tcPr>
          <w:p w14:paraId="47736894" w14:textId="77777777" w:rsidR="00F1401E" w:rsidRDefault="00F1401E" w:rsidP="00F1401E">
            <w:pPr>
              <w:jc w:val="both"/>
              <w:rPr>
                <w:rStyle w:val="normaltextrun"/>
                <w:b/>
              </w:rPr>
            </w:pPr>
            <w:r w:rsidRPr="00925DA5">
              <w:rPr>
                <w:rStyle w:val="normaltextrun"/>
                <w:b/>
              </w:rPr>
              <w:t>Iebildums ņemts vērā</w:t>
            </w:r>
            <w:r>
              <w:rPr>
                <w:rStyle w:val="normaltextrun"/>
                <w:b/>
              </w:rPr>
              <w:t>.</w:t>
            </w:r>
          </w:p>
          <w:p w14:paraId="33D54CD1" w14:textId="77777777" w:rsidR="00F1401E" w:rsidRDefault="00F1401E" w:rsidP="00F1401E">
            <w:pPr>
              <w:jc w:val="both"/>
              <w:rPr>
                <w:rStyle w:val="normaltextrun"/>
                <w:b/>
              </w:rPr>
            </w:pPr>
          </w:p>
          <w:p w14:paraId="77F9CD80" w14:textId="77D648CC" w:rsidR="00F1401E" w:rsidRPr="00925DA5" w:rsidRDefault="00F1401E" w:rsidP="00F1401E">
            <w:pPr>
              <w:jc w:val="both"/>
              <w:rPr>
                <w:rStyle w:val="normaltextrun"/>
                <w:b/>
              </w:rPr>
            </w:pPr>
            <w:r>
              <w:t xml:space="preserve">Likumprojekta 4. pantā </w:t>
            </w:r>
            <w:r w:rsidRPr="003C35B2">
              <w:t>(iepriekš 3. pantā)</w:t>
            </w:r>
            <w:r w:rsidRPr="00925DA5">
              <w:t xml:space="preserve"> </w:t>
            </w:r>
            <w:r>
              <w:t xml:space="preserve">paredzētā </w:t>
            </w:r>
            <w:r w:rsidRPr="00925DA5">
              <w:t>likuma 24.</w:t>
            </w:r>
            <w:r>
              <w:t> </w:t>
            </w:r>
            <w:r w:rsidRPr="00925DA5">
              <w:t>panta piekt</w:t>
            </w:r>
            <w:r>
              <w:t>ā</w:t>
            </w:r>
            <w:r w:rsidRPr="00925DA5">
              <w:t xml:space="preserve"> daļ</w:t>
            </w:r>
            <w:r>
              <w:t xml:space="preserve">a precizēta. </w:t>
            </w:r>
          </w:p>
        </w:tc>
        <w:tc>
          <w:tcPr>
            <w:tcW w:w="3431" w:type="dxa"/>
          </w:tcPr>
          <w:p w14:paraId="2962EA1D" w14:textId="18BFF0CE" w:rsidR="00F1401E" w:rsidRPr="00A01451" w:rsidRDefault="00F1401E" w:rsidP="00F1401E">
            <w:pPr>
              <w:jc w:val="both"/>
              <w:rPr>
                <w:b/>
                <w:color w:val="FF0000"/>
              </w:rPr>
            </w:pPr>
            <w:r w:rsidRPr="00A01451">
              <w:rPr>
                <w:b/>
              </w:rPr>
              <w:t>“24. pants. Kompetence administratīvo pārkāpumu procesā</w:t>
            </w:r>
          </w:p>
          <w:p w14:paraId="454DA7AA" w14:textId="4649A421" w:rsidR="00F1401E" w:rsidRPr="00846E46" w:rsidRDefault="00F1401E" w:rsidP="00846E46">
            <w:pPr>
              <w:pStyle w:val="tv213"/>
              <w:shd w:val="clear" w:color="auto" w:fill="FFFFFF" w:themeFill="background1"/>
              <w:spacing w:before="120" w:beforeAutospacing="0" w:after="120" w:afterAutospacing="0" w:line="293" w:lineRule="atLeast"/>
              <w:jc w:val="both"/>
              <w:rPr>
                <w:color w:val="000000" w:themeColor="text1"/>
              </w:rPr>
            </w:pPr>
            <w:r w:rsidRPr="00A01451">
              <w:rPr>
                <w:color w:val="000000" w:themeColor="text1"/>
              </w:rPr>
              <w:t>(5) Administratīvā pārkāpuma procesu par šā likuma 19. panta otrajā un sestajā daļā attiecībā uz ķīmiskām vielām tirdzniecībā esošajos izstrādājumos un tirdzniecībā esošiem apstrādātiem izstrādājumiem, 20. panta sestajā daļā par informācijas nenodošanu par vielām izstrādājumos, 23. panta pirmajā un piektajā daļā minētajiem pārkāpumiem veic Patērētāju tiesību aizsardzības centrs.</w:t>
            </w:r>
            <w:r>
              <w:rPr>
                <w:color w:val="000000" w:themeColor="text1"/>
              </w:rPr>
              <w:t>”</w:t>
            </w:r>
          </w:p>
        </w:tc>
      </w:tr>
      <w:tr w:rsidR="00F1401E" w:rsidRPr="00371588" w14:paraId="2A3732C9" w14:textId="77777777" w:rsidTr="65362092">
        <w:tc>
          <w:tcPr>
            <w:tcW w:w="846" w:type="dxa"/>
          </w:tcPr>
          <w:p w14:paraId="00C47853" w14:textId="0E64F9F7" w:rsidR="00F1401E" w:rsidRPr="008E660F" w:rsidRDefault="00DD7A3F" w:rsidP="00F1401E">
            <w:pPr>
              <w:pStyle w:val="naisf"/>
              <w:spacing w:before="0" w:after="0"/>
              <w:ind w:firstLine="0"/>
              <w:jc w:val="center"/>
            </w:pPr>
            <w:r>
              <w:t>15</w:t>
            </w:r>
            <w:r w:rsidR="00F1401E" w:rsidRPr="008E660F">
              <w:t>.</w:t>
            </w:r>
          </w:p>
        </w:tc>
        <w:tc>
          <w:tcPr>
            <w:tcW w:w="2410" w:type="dxa"/>
          </w:tcPr>
          <w:p w14:paraId="705A6BFB" w14:textId="77777777" w:rsidR="00F1401E" w:rsidRPr="003370F8" w:rsidRDefault="00F1401E" w:rsidP="00F1401E">
            <w:pPr>
              <w:jc w:val="both"/>
            </w:pPr>
            <w:r w:rsidRPr="003370F8">
              <w:t>Likumprojekta 4. pantā (iepriekš 3. pantā) paredzētā likuma 19.  panta sestā daļa:</w:t>
            </w:r>
          </w:p>
          <w:p w14:paraId="30745964" w14:textId="77777777" w:rsidR="00F1401E" w:rsidRPr="003370F8" w:rsidRDefault="00F1401E" w:rsidP="00F1401E">
            <w:pPr>
              <w:spacing w:before="120"/>
              <w:jc w:val="both"/>
            </w:pPr>
            <w:r w:rsidRPr="003370F8">
              <w:t>“</w:t>
            </w:r>
            <w:r w:rsidRPr="003370F8">
              <w:rPr>
                <w:b/>
              </w:rPr>
              <w:t>19. pants. Administratīvie pārkāpumi ķīmisko vielu, maisījumu, izstrādājumu, biocīdu un apstrādāto izstrādājumu jomā</w:t>
            </w:r>
            <w:r w:rsidRPr="003370F8">
              <w:t xml:space="preserve"> </w:t>
            </w:r>
          </w:p>
          <w:p w14:paraId="624068EA" w14:textId="7A962B64" w:rsidR="00F1401E" w:rsidRPr="003370F8" w:rsidRDefault="00F1401E" w:rsidP="00F1401E">
            <w:pPr>
              <w:spacing w:before="120"/>
              <w:jc w:val="both"/>
            </w:pPr>
            <w:r w:rsidRPr="003370F8">
              <w:t>(6) Par tādu izstrādājumu, kuri satur neatļautu bīstamu ķīmisko vielu vai kuros ķīmiskās vielas daudzums pārsniedz normatīvajos aktos noteiktās robežkoncentrācijas; par apstrādātu izstrādājumu, kuru apstrādei izmantotā biocīda sastāvā ir neatļauta aktīvā viela, laišanu tirgū, piedāvāšanu vai pārdošanu –</w:t>
            </w:r>
          </w:p>
          <w:p w14:paraId="5C05CA26" w14:textId="0F8FEC16" w:rsidR="00F1401E" w:rsidRPr="003370F8" w:rsidRDefault="00F1401E" w:rsidP="00F1401E">
            <w:pPr>
              <w:spacing w:before="120"/>
              <w:jc w:val="both"/>
            </w:pPr>
            <w:r w:rsidRPr="003370F8">
              <w:t>piemēro naudas sodu fiziskajām personām no septiņām līdz simt četrdesmit naudas soda vienībām, bet juridiskajām personām – no piecdesmit sešām līdz divtūkstoš astoņsimt naudas soda vienībām.”</w:t>
            </w:r>
          </w:p>
          <w:p w14:paraId="0C48C513" w14:textId="5740EBBD" w:rsidR="00F1401E" w:rsidRPr="003370F8" w:rsidRDefault="00F1401E" w:rsidP="00F1401E">
            <w:pPr>
              <w:jc w:val="both"/>
            </w:pPr>
          </w:p>
        </w:tc>
        <w:tc>
          <w:tcPr>
            <w:tcW w:w="4110" w:type="dxa"/>
          </w:tcPr>
          <w:p w14:paraId="380AB388" w14:textId="49C770C0" w:rsidR="00F1401E" w:rsidRPr="003370F8" w:rsidRDefault="00F1401E" w:rsidP="00F1401E">
            <w:pPr>
              <w:spacing w:before="100" w:beforeAutospacing="1" w:after="100" w:afterAutospacing="1"/>
              <w:rPr>
                <w:b/>
                <w:bCs/>
              </w:rPr>
            </w:pPr>
            <w:r w:rsidRPr="003370F8">
              <w:rPr>
                <w:b/>
                <w:bCs/>
              </w:rPr>
              <w:t>Ekonomikas ministrijas 2019. gada 30. septembra atzinums Nr. 3.1-20/2019/255</w:t>
            </w:r>
          </w:p>
          <w:p w14:paraId="5EBD10DD" w14:textId="015EB5CE" w:rsidR="00F1401E" w:rsidRPr="003370F8" w:rsidRDefault="00F1401E" w:rsidP="00F1401E">
            <w:pPr>
              <w:jc w:val="both"/>
            </w:pPr>
            <w:r w:rsidRPr="003370F8">
              <w:t xml:space="preserve">[2] Lūdzam Likumprojekta 3.punktā ietvertajā likuma </w:t>
            </w:r>
            <w:proofErr w:type="gramStart"/>
            <w:r w:rsidRPr="003370F8">
              <w:t>19.panta</w:t>
            </w:r>
            <w:proofErr w:type="gramEnd"/>
            <w:r w:rsidRPr="003370F8">
              <w:t xml:space="preserve"> sestās daļas redakcijā minēto terminu “robežkoncentrācijas” aizstāt ar iepriekšējā likumprojekta</w:t>
            </w:r>
            <w:r w:rsidRPr="003370F8">
              <w:rPr>
                <w:vertAlign w:val="superscript"/>
              </w:rPr>
              <w:footnoteReference w:id="2"/>
            </w:r>
            <w:r w:rsidRPr="003370F8">
              <w:t xml:space="preserve"> redakcijā lietoto terminu “normas”, kurš būtu labāk saprotams normas piemērotājiem, vai arī aizstāt to ar terminu “robežvērtības”, jo šāds formulējums arī ir lietots CLP Regulā un REACH Regulā, kā arī nacionālajos normatīvajos aktos. </w:t>
            </w:r>
          </w:p>
        </w:tc>
        <w:tc>
          <w:tcPr>
            <w:tcW w:w="3799" w:type="dxa"/>
          </w:tcPr>
          <w:p w14:paraId="49BF22F5" w14:textId="057A57BC" w:rsidR="00F1401E" w:rsidRPr="003370F8" w:rsidRDefault="00F1401E" w:rsidP="00F1401E">
            <w:pPr>
              <w:jc w:val="both"/>
              <w:rPr>
                <w:rStyle w:val="normaltextrun"/>
                <w:b/>
                <w:bCs/>
              </w:rPr>
            </w:pPr>
            <w:r w:rsidRPr="003370F8">
              <w:rPr>
                <w:rStyle w:val="normaltextrun"/>
                <w:b/>
                <w:bCs/>
              </w:rPr>
              <w:t>Iebildums ņemts vērā.</w:t>
            </w:r>
          </w:p>
          <w:p w14:paraId="36949C0D" w14:textId="17D439B7" w:rsidR="00F1401E" w:rsidRPr="003370F8" w:rsidRDefault="00F1401E" w:rsidP="00F1401E">
            <w:pPr>
              <w:jc w:val="both"/>
            </w:pPr>
          </w:p>
          <w:p w14:paraId="5CD99E17" w14:textId="00E9FFD4" w:rsidR="00F1401E" w:rsidRPr="003370F8" w:rsidRDefault="00F1401E" w:rsidP="00846E46">
            <w:pPr>
              <w:pStyle w:val="CM3"/>
              <w:spacing w:before="60" w:after="60"/>
              <w:jc w:val="both"/>
            </w:pPr>
            <w:r w:rsidRPr="003370F8">
              <w:t xml:space="preserve">Likumprojekta 4. pantā (iepriekš 3. pantā) paredzētā likuma </w:t>
            </w:r>
            <w:r w:rsidR="00846E46">
              <w:t>19. panta sestā daļa precizēta.</w:t>
            </w:r>
          </w:p>
          <w:p w14:paraId="28BF1D61" w14:textId="35EE5945" w:rsidR="00F1401E" w:rsidRPr="003370F8" w:rsidRDefault="00F1401E" w:rsidP="00F1401E"/>
          <w:p w14:paraId="7467ABC8" w14:textId="394CF3A2" w:rsidR="00F1401E" w:rsidRPr="003370F8" w:rsidRDefault="00F1401E" w:rsidP="00F1401E">
            <w:pPr>
              <w:pStyle w:val="CM3"/>
              <w:spacing w:before="60" w:after="60"/>
              <w:rPr>
                <w:rStyle w:val="normaltextrun"/>
                <w:lang w:eastAsia="lv-LV"/>
              </w:rPr>
            </w:pPr>
          </w:p>
          <w:p w14:paraId="4DEEFB50" w14:textId="5A5180F1" w:rsidR="00F1401E" w:rsidRPr="003370F8" w:rsidRDefault="00F1401E" w:rsidP="00F1401E"/>
          <w:p w14:paraId="163CE503" w14:textId="74B61CD0" w:rsidR="00F1401E" w:rsidRPr="003370F8" w:rsidRDefault="00F1401E" w:rsidP="00F1401E">
            <w:pPr>
              <w:jc w:val="both"/>
              <w:rPr>
                <w:rStyle w:val="normaltextrun"/>
              </w:rPr>
            </w:pPr>
          </w:p>
        </w:tc>
        <w:tc>
          <w:tcPr>
            <w:tcW w:w="3431" w:type="dxa"/>
          </w:tcPr>
          <w:p w14:paraId="65C2E8C5" w14:textId="77777777" w:rsidR="00F1401E" w:rsidRPr="003370F8" w:rsidRDefault="00F1401E" w:rsidP="00F1401E">
            <w:pPr>
              <w:spacing w:before="120"/>
              <w:jc w:val="both"/>
            </w:pPr>
            <w:r w:rsidRPr="003370F8">
              <w:rPr>
                <w:sz w:val="28"/>
                <w:szCs w:val="28"/>
              </w:rPr>
              <w:t>“</w:t>
            </w:r>
            <w:r w:rsidRPr="003370F8">
              <w:rPr>
                <w:b/>
              </w:rPr>
              <w:t>19. pants. Administratīvie pārkāpumi ķīmisko vielu, maisījumu, izstrādājumu, biocīdu un apstrādāto izstrādājumu jomā</w:t>
            </w:r>
            <w:r w:rsidRPr="003370F8">
              <w:t xml:space="preserve"> </w:t>
            </w:r>
          </w:p>
          <w:p w14:paraId="40F6D83C" w14:textId="0168BDBD" w:rsidR="00F1401E" w:rsidRPr="003370F8" w:rsidRDefault="00F1401E" w:rsidP="00F1401E">
            <w:pPr>
              <w:spacing w:before="120"/>
              <w:jc w:val="both"/>
            </w:pPr>
            <w:r w:rsidRPr="003370F8">
              <w:t xml:space="preserve">(6) Par tādu izstrādājumu, kuri satur neatļautu bīstamu ķīmisko vielu vai kuros ķīmiskās vielas daudzums pārsniedz normatīvajos aktos noteiktās </w:t>
            </w:r>
            <w:r w:rsidRPr="003370F8">
              <w:rPr>
                <w:b/>
              </w:rPr>
              <w:t>normas</w:t>
            </w:r>
            <w:r w:rsidRPr="003370F8">
              <w:t>; par apstrādātu izstrādājumu, kuru apstrādei izmantotā biocīda sastāvā ir neatļauta aktīvā viela, laišanu tirgū, piedāvāšanu vai pārdošanu –</w:t>
            </w:r>
          </w:p>
          <w:p w14:paraId="58D2473E" w14:textId="1D21BC20" w:rsidR="00F1401E" w:rsidRPr="003370F8" w:rsidRDefault="00F1401E" w:rsidP="00F1401E">
            <w:pPr>
              <w:spacing w:before="120"/>
              <w:ind w:firstLine="709"/>
              <w:jc w:val="both"/>
            </w:pPr>
            <w:r w:rsidRPr="003370F8">
              <w:t>piemēro naudas sodu fiziskajām personām no septiņām līdz simt četrdesmit naudas soda vienībām, bet juridiskajām personām – no piecdesmit sešām līdz divtūkstoš astoņsimt naudas soda vienībām.”</w:t>
            </w:r>
          </w:p>
          <w:p w14:paraId="392A637B" w14:textId="77777777" w:rsidR="00F1401E" w:rsidRPr="003370F8" w:rsidRDefault="00F1401E" w:rsidP="00F1401E">
            <w:pPr>
              <w:pStyle w:val="BodyTextIndent"/>
              <w:ind w:right="57" w:firstLine="0"/>
              <w:rPr>
                <w:rFonts w:eastAsia="Calibri"/>
                <w:lang w:eastAsia="en-US"/>
              </w:rPr>
            </w:pPr>
          </w:p>
        </w:tc>
      </w:tr>
      <w:tr w:rsidR="00F1401E" w:rsidRPr="00371588" w14:paraId="3BAB8213" w14:textId="77777777" w:rsidTr="65362092">
        <w:tc>
          <w:tcPr>
            <w:tcW w:w="846" w:type="dxa"/>
          </w:tcPr>
          <w:p w14:paraId="22A41F57" w14:textId="7B907443" w:rsidR="00F1401E" w:rsidRPr="008E660F" w:rsidRDefault="00F1401E" w:rsidP="00DD7A3F">
            <w:pPr>
              <w:pStyle w:val="naisf"/>
              <w:spacing w:before="0" w:after="0"/>
              <w:ind w:firstLine="0"/>
              <w:jc w:val="center"/>
            </w:pPr>
            <w:r w:rsidRPr="008E660F">
              <w:t>1</w:t>
            </w:r>
            <w:r w:rsidR="00DD7A3F">
              <w:t>6</w:t>
            </w:r>
            <w:r w:rsidRPr="008E660F">
              <w:t>.</w:t>
            </w:r>
          </w:p>
        </w:tc>
        <w:tc>
          <w:tcPr>
            <w:tcW w:w="2410" w:type="dxa"/>
          </w:tcPr>
          <w:p w14:paraId="681350AE" w14:textId="77777777" w:rsidR="00F1401E" w:rsidRPr="00665642" w:rsidRDefault="00F1401E" w:rsidP="00F1401E">
            <w:pPr>
              <w:rPr>
                <w:bCs/>
              </w:rPr>
            </w:pPr>
            <w:r w:rsidRPr="00665642">
              <w:rPr>
                <w:bCs/>
              </w:rPr>
              <w:t xml:space="preserve">Likumprojekta 4. pantā </w:t>
            </w:r>
            <w:r w:rsidRPr="00665642">
              <w:t xml:space="preserve">(iepriekš 3. pantā) paredzētā likuma </w:t>
            </w:r>
            <w:r w:rsidRPr="00665642">
              <w:rPr>
                <w:bCs/>
              </w:rPr>
              <w:t>19. panta piektā daļa:</w:t>
            </w:r>
          </w:p>
          <w:p w14:paraId="223CB004" w14:textId="77777777" w:rsidR="00F1401E" w:rsidRPr="00665642" w:rsidRDefault="00F1401E" w:rsidP="00F1401E">
            <w:pPr>
              <w:jc w:val="both"/>
              <w:rPr>
                <w:b/>
              </w:rPr>
            </w:pPr>
            <w:r w:rsidRPr="00665642">
              <w:t>“</w:t>
            </w:r>
            <w:r w:rsidRPr="00665642">
              <w:rPr>
                <w:b/>
              </w:rPr>
              <w:t>19. pants. Administratīvie pārkāpumi ķīmisko vielu, maisījumu, izstrādājumu, biocīdu un apstrādāto izstrādājumu jomā</w:t>
            </w:r>
          </w:p>
          <w:p w14:paraId="67124449" w14:textId="6B41C73C" w:rsidR="00F1401E" w:rsidRPr="00665642" w:rsidRDefault="00F1401E" w:rsidP="00F1401E">
            <w:pPr>
              <w:spacing w:before="120"/>
              <w:jc w:val="both"/>
            </w:pPr>
            <w:r w:rsidRPr="00665642">
              <w:t>(5) Par normatīvajos aktos noteikto prasību pārkāpšanu, veicot darbības ar biocīdiem, –</w:t>
            </w:r>
          </w:p>
          <w:p w14:paraId="0D5309AD" w14:textId="41528AB3" w:rsidR="00F1401E" w:rsidRPr="00665642" w:rsidRDefault="00F1401E" w:rsidP="00F1401E">
            <w:pPr>
              <w:spacing w:before="120"/>
              <w:jc w:val="both"/>
            </w:pPr>
            <w:r w:rsidRPr="00665642">
              <w:t>piemēro naudas sodu fiziskajām personām no astoņdesmit sešām līdz simt četrdesmit naudas soda vienībām, bet juridiskajām personām – no divsimt astoņdesmit līdz astoņsimt sešdesmit naudas soda vienībām.</w:t>
            </w:r>
            <w:r>
              <w:t>”</w:t>
            </w:r>
          </w:p>
        </w:tc>
        <w:tc>
          <w:tcPr>
            <w:tcW w:w="4110" w:type="dxa"/>
          </w:tcPr>
          <w:p w14:paraId="249703BE" w14:textId="5F6CAD34" w:rsidR="00F1401E" w:rsidRDefault="00F1401E" w:rsidP="00005B63">
            <w:pPr>
              <w:jc w:val="both"/>
              <w:rPr>
                <w:b/>
                <w:bCs/>
              </w:rPr>
            </w:pPr>
            <w:r>
              <w:rPr>
                <w:b/>
                <w:bCs/>
              </w:rPr>
              <w:t>Veselības</w:t>
            </w:r>
            <w:r w:rsidRPr="00D95160">
              <w:rPr>
                <w:b/>
                <w:bCs/>
              </w:rPr>
              <w:t xml:space="preserve"> ministrijas 2019. gada </w:t>
            </w:r>
            <w:r>
              <w:rPr>
                <w:b/>
                <w:bCs/>
              </w:rPr>
              <w:t>26</w:t>
            </w:r>
            <w:r w:rsidRPr="00D95160">
              <w:rPr>
                <w:b/>
                <w:bCs/>
              </w:rPr>
              <w:t>. septembra atzinums Nr.  </w:t>
            </w:r>
            <w:r w:rsidRPr="00E95585">
              <w:rPr>
                <w:b/>
                <w:bCs/>
              </w:rPr>
              <w:t>01-09/4112</w:t>
            </w:r>
          </w:p>
          <w:p w14:paraId="491BEC52" w14:textId="77777777" w:rsidR="00005B63" w:rsidRPr="00E95585" w:rsidRDefault="00005B63" w:rsidP="00F1401E">
            <w:pPr>
              <w:rPr>
                <w:b/>
                <w:bCs/>
              </w:rPr>
            </w:pPr>
          </w:p>
          <w:p w14:paraId="46937E5F" w14:textId="5077690A" w:rsidR="00F1401E" w:rsidRPr="00D95160" w:rsidRDefault="00F1401E" w:rsidP="00005B63">
            <w:pPr>
              <w:jc w:val="both"/>
              <w:rPr>
                <w:b/>
                <w:bCs/>
              </w:rPr>
            </w:pPr>
            <w:r w:rsidRPr="00D95160">
              <w:rPr>
                <w:bCs/>
              </w:rPr>
              <w:t xml:space="preserve">1. Likumprojektā ir jāietver arī administratīvā pārkāpuma procesa veikšana attiecībā uz pārkāpumiem darbībās ar apstrādātiem izstrādājumiem.  Anotācijā dotajā skaidrojumā par </w:t>
            </w:r>
            <w:proofErr w:type="gramStart"/>
            <w:r w:rsidRPr="00D95160">
              <w:rPr>
                <w:bCs/>
              </w:rPr>
              <w:t>19.panta</w:t>
            </w:r>
            <w:proofErr w:type="gramEnd"/>
            <w:r w:rsidRPr="00D95160">
              <w:rPr>
                <w:bCs/>
              </w:rPr>
              <w:t xml:space="preserve"> 5.daļu pilnīgi pareizi jau ir pieminēti arī apstrādāti izstrādājumi, precizējot, ka Veselības inspekcijas kompetencē ir tie apstrādātie izstrādājumi, kas ir vielas un maisījumi: „</w:t>
            </w:r>
            <w:r w:rsidRPr="00D95160">
              <w:rPr>
                <w:bCs/>
                <w:i/>
                <w:iCs/>
              </w:rPr>
              <w:t>Veselības inspekcija piemēros sankcijas gadījumos, kad tirdzniecībā esošie (tirgū laistie un izplatītie) biocīdi un apstrādātie izstrādājumi, kas ir vielas un maisījumi, neatbildīs normatīvo aktu prasībām, pamatojoties uz Likuma 4. panta pirmo daļu</w:t>
            </w:r>
            <w:r w:rsidRPr="00D95160">
              <w:rPr>
                <w:bCs/>
              </w:rPr>
              <w:t>.” Ņemot vērā minēto, lūdzam likumprojekta 3.pantā ietvertos grozījumus 19.panta piektās daļas pirmajā teikumā izteikt šādā redakcijā:</w:t>
            </w:r>
          </w:p>
          <w:p w14:paraId="45A6E6BF" w14:textId="2A52697B" w:rsidR="00F1401E" w:rsidRPr="00D3259B" w:rsidRDefault="00F1401E" w:rsidP="00005B63">
            <w:pPr>
              <w:jc w:val="both"/>
              <w:rPr>
                <w:bCs/>
              </w:rPr>
            </w:pPr>
            <w:r w:rsidRPr="00D95160">
              <w:rPr>
                <w:bCs/>
              </w:rPr>
              <w:t>„(5) Par normatīvajos aktos noteikto prasību pārkāpšanu, veicot darbības ar biocīdiem un apstrādātiem izstrādājumiem, [..]”.</w:t>
            </w:r>
          </w:p>
        </w:tc>
        <w:tc>
          <w:tcPr>
            <w:tcW w:w="3799" w:type="dxa"/>
          </w:tcPr>
          <w:p w14:paraId="494C58F5" w14:textId="77777777" w:rsidR="00F1401E" w:rsidRDefault="00F1401E" w:rsidP="00F1401E">
            <w:pPr>
              <w:jc w:val="both"/>
              <w:rPr>
                <w:rStyle w:val="normaltextrun"/>
                <w:b/>
              </w:rPr>
            </w:pPr>
            <w:r w:rsidRPr="00925DA5">
              <w:rPr>
                <w:rStyle w:val="normaltextrun"/>
                <w:b/>
              </w:rPr>
              <w:t>Iebildums ņemts vērā</w:t>
            </w:r>
            <w:r>
              <w:rPr>
                <w:rStyle w:val="normaltextrun"/>
                <w:b/>
              </w:rPr>
              <w:t>.</w:t>
            </w:r>
          </w:p>
          <w:p w14:paraId="74A717BD" w14:textId="77777777" w:rsidR="00F1401E" w:rsidRDefault="00F1401E" w:rsidP="00F1401E">
            <w:pPr>
              <w:jc w:val="both"/>
              <w:rPr>
                <w:rStyle w:val="normaltextrun"/>
              </w:rPr>
            </w:pPr>
          </w:p>
          <w:p w14:paraId="2EEF105E" w14:textId="5EA69A3A" w:rsidR="00F1401E" w:rsidRPr="00371588" w:rsidRDefault="00F1401E" w:rsidP="00846E46">
            <w:pPr>
              <w:pStyle w:val="BodyTextIndent"/>
              <w:ind w:right="57" w:firstLine="0"/>
              <w:rPr>
                <w:rStyle w:val="normaltextrun"/>
              </w:rPr>
            </w:pPr>
            <w:r>
              <w:rPr>
                <w:rStyle w:val="normaltextrun"/>
              </w:rPr>
              <w:t xml:space="preserve">Papildināta </w:t>
            </w:r>
            <w:r w:rsidRPr="00A00C25">
              <w:rPr>
                <w:szCs w:val="24"/>
              </w:rPr>
              <w:t xml:space="preserve">Likumprojekta </w:t>
            </w:r>
            <w:r>
              <w:rPr>
                <w:szCs w:val="24"/>
              </w:rPr>
              <w:t>4</w:t>
            </w:r>
            <w:r w:rsidRPr="00A00C25">
              <w:rPr>
                <w:szCs w:val="24"/>
              </w:rPr>
              <w:t>.</w:t>
            </w:r>
            <w:r w:rsidR="00846E46">
              <w:rPr>
                <w:szCs w:val="24"/>
              </w:rPr>
              <w:t> </w:t>
            </w:r>
            <w:r>
              <w:rPr>
                <w:szCs w:val="24"/>
              </w:rPr>
              <w:t>pantā</w:t>
            </w:r>
            <w:r w:rsidRPr="00A00C25">
              <w:rPr>
                <w:szCs w:val="24"/>
              </w:rPr>
              <w:t xml:space="preserve"> </w:t>
            </w:r>
            <w:r>
              <w:t xml:space="preserve">(iepriekš 3. pantā) </w:t>
            </w:r>
            <w:r>
              <w:rPr>
                <w:szCs w:val="24"/>
              </w:rPr>
              <w:t xml:space="preserve">paredzētā </w:t>
            </w:r>
            <w:r w:rsidRPr="00A00C25">
              <w:rPr>
                <w:szCs w:val="24"/>
              </w:rPr>
              <w:t>likuma 19.</w:t>
            </w:r>
            <w:r>
              <w:rPr>
                <w:szCs w:val="24"/>
              </w:rPr>
              <w:t> </w:t>
            </w:r>
            <w:r w:rsidRPr="00A00C25">
              <w:rPr>
                <w:szCs w:val="24"/>
              </w:rPr>
              <w:t>panta piektā daļ</w:t>
            </w:r>
            <w:r>
              <w:rPr>
                <w:szCs w:val="24"/>
              </w:rPr>
              <w:t xml:space="preserve">a, ietverot apstrādātus izstrādājumus, kas ir ķīmiskās vielas un maisījumi un kas atbilst regulas apstrādāto izstrādājumu definīcijai (Nr. </w:t>
            </w:r>
            <w:r w:rsidR="00846E46">
              <w:rPr>
                <w:szCs w:val="24"/>
              </w:rPr>
              <w:t>528/2012 3. panta 1. punkts).</w:t>
            </w:r>
          </w:p>
        </w:tc>
        <w:tc>
          <w:tcPr>
            <w:tcW w:w="3431" w:type="dxa"/>
          </w:tcPr>
          <w:p w14:paraId="60F938A7" w14:textId="27172ABC" w:rsidR="00F1401E" w:rsidRPr="00A01451" w:rsidRDefault="00F1401E" w:rsidP="00F1401E">
            <w:pPr>
              <w:jc w:val="both"/>
              <w:rPr>
                <w:b/>
              </w:rPr>
            </w:pPr>
            <w:r w:rsidRPr="0003114C">
              <w:rPr>
                <w:b/>
              </w:rPr>
              <w:t>“</w:t>
            </w:r>
            <w:r w:rsidRPr="00A01451">
              <w:rPr>
                <w:b/>
              </w:rPr>
              <w:t>19. pants. Administratīvie pārkāpumi ķīmisko vielu, maisījumu, izstrādājumu, biocīdu un apstrādāto izstrādājumu jomā</w:t>
            </w:r>
          </w:p>
          <w:p w14:paraId="78B439F4" w14:textId="77777777" w:rsidR="00F1401E" w:rsidRPr="00A01451" w:rsidRDefault="00F1401E" w:rsidP="00F1401E">
            <w:pPr>
              <w:spacing w:before="120"/>
              <w:ind w:firstLine="709"/>
              <w:jc w:val="both"/>
            </w:pPr>
            <w:r w:rsidRPr="00A01451">
              <w:t>(3) Par normatīvajos aktos noteikto prasību pārkāpšanu, veicot darbības ar biocīdiem un apstrādātiem izstrādājumiem, kas ir vielas vai maisījumi, –</w:t>
            </w:r>
          </w:p>
          <w:p w14:paraId="2453BDF7" w14:textId="5DC2E880" w:rsidR="00F1401E" w:rsidRPr="00846E46" w:rsidRDefault="00F1401E" w:rsidP="00846E46">
            <w:pPr>
              <w:spacing w:before="120"/>
              <w:jc w:val="both"/>
              <w:rPr>
                <w:highlight w:val="yellow"/>
              </w:rPr>
            </w:pPr>
            <w:r w:rsidRPr="00A01451">
              <w:t>piemēro naudas sodu fiziskajām personām no sešām līdz astoņdesmit sešām</w:t>
            </w:r>
            <w:r w:rsidRPr="00A01451" w:rsidDel="00434EAD">
              <w:t xml:space="preserve"> </w:t>
            </w:r>
            <w:r w:rsidRPr="00A01451">
              <w:t>naudas soda vienībām, bet juridiskajām personām – no četrpadsmit līdz divsimt naudas soda vienībām.</w:t>
            </w:r>
            <w:r>
              <w:t>”</w:t>
            </w:r>
          </w:p>
        </w:tc>
      </w:tr>
      <w:tr w:rsidR="00F1401E" w:rsidRPr="00371588" w14:paraId="45E9A31B" w14:textId="77777777" w:rsidTr="65362092">
        <w:tc>
          <w:tcPr>
            <w:tcW w:w="846" w:type="dxa"/>
          </w:tcPr>
          <w:p w14:paraId="3DA9E879" w14:textId="1264CF2F" w:rsidR="00F1401E" w:rsidRPr="008E660F" w:rsidRDefault="00DD7A3F" w:rsidP="00F1401E">
            <w:pPr>
              <w:pStyle w:val="naisf"/>
              <w:spacing w:before="0" w:after="0"/>
              <w:ind w:firstLine="0"/>
              <w:jc w:val="center"/>
            </w:pPr>
            <w:r>
              <w:t>17</w:t>
            </w:r>
            <w:r w:rsidR="00F1401E" w:rsidRPr="008E660F">
              <w:t>.</w:t>
            </w:r>
          </w:p>
        </w:tc>
        <w:tc>
          <w:tcPr>
            <w:tcW w:w="2410" w:type="dxa"/>
          </w:tcPr>
          <w:p w14:paraId="253A933A" w14:textId="77777777" w:rsidR="00F1401E" w:rsidRDefault="00F1401E" w:rsidP="00F1401E">
            <w:pPr>
              <w:jc w:val="both"/>
              <w:rPr>
                <w:bCs/>
              </w:rPr>
            </w:pPr>
            <w:r>
              <w:rPr>
                <w:bCs/>
              </w:rPr>
              <w:t>L</w:t>
            </w:r>
            <w:r w:rsidRPr="00D95160">
              <w:rPr>
                <w:bCs/>
              </w:rPr>
              <w:t xml:space="preserve">ikumprojekta </w:t>
            </w:r>
            <w:r>
              <w:rPr>
                <w:bCs/>
              </w:rPr>
              <w:t>4</w:t>
            </w:r>
            <w:r w:rsidRPr="00D95160">
              <w:rPr>
                <w:bCs/>
              </w:rPr>
              <w:t>.</w:t>
            </w:r>
            <w:r>
              <w:rPr>
                <w:bCs/>
              </w:rPr>
              <w:t> </w:t>
            </w:r>
            <w:r w:rsidRPr="00D95160">
              <w:rPr>
                <w:bCs/>
              </w:rPr>
              <w:t xml:space="preserve">pantā </w:t>
            </w:r>
            <w:r>
              <w:t xml:space="preserve">(iepriekš 3. pantā) </w:t>
            </w:r>
            <w:r>
              <w:rPr>
                <w:bCs/>
              </w:rPr>
              <w:t>paredzētā</w:t>
            </w:r>
            <w:r w:rsidRPr="00D95160">
              <w:rPr>
                <w:bCs/>
              </w:rPr>
              <w:t xml:space="preserve"> </w:t>
            </w:r>
            <w:r>
              <w:rPr>
                <w:bCs/>
              </w:rPr>
              <w:t xml:space="preserve">likuma </w:t>
            </w:r>
            <w:r w:rsidRPr="00775886">
              <w:rPr>
                <w:bCs/>
              </w:rPr>
              <w:t>24.</w:t>
            </w:r>
            <w:r>
              <w:rPr>
                <w:bCs/>
              </w:rPr>
              <w:t> panta otrajā daļa:</w:t>
            </w:r>
          </w:p>
          <w:p w14:paraId="2A87C6E6" w14:textId="77777777" w:rsidR="00F1401E" w:rsidRPr="00665642" w:rsidRDefault="00F1401E" w:rsidP="00F1401E">
            <w:pPr>
              <w:pStyle w:val="tv213"/>
              <w:shd w:val="clear" w:color="auto" w:fill="FFFFFF" w:themeFill="background1"/>
              <w:spacing w:before="120" w:beforeAutospacing="0" w:after="0" w:afterAutospacing="0" w:line="293" w:lineRule="atLeast"/>
              <w:jc w:val="both"/>
            </w:pPr>
            <w:r w:rsidRPr="00665642">
              <w:t>“</w:t>
            </w:r>
            <w:r w:rsidRPr="00665642">
              <w:rPr>
                <w:b/>
              </w:rPr>
              <w:t>24. pants. Kompetence administratīvo pārkāpumu procesā</w:t>
            </w:r>
            <w:r w:rsidRPr="00665642">
              <w:t xml:space="preserve"> </w:t>
            </w:r>
          </w:p>
          <w:p w14:paraId="3A482E11" w14:textId="54477A5C" w:rsidR="00F1401E" w:rsidRPr="000B2D23" w:rsidRDefault="00F1401E" w:rsidP="00F1401E">
            <w:pPr>
              <w:pStyle w:val="tv213"/>
              <w:shd w:val="clear" w:color="auto" w:fill="FFFFFF" w:themeFill="background1"/>
              <w:spacing w:before="120" w:beforeAutospacing="0" w:after="0" w:afterAutospacing="0" w:line="293" w:lineRule="atLeast"/>
              <w:jc w:val="both"/>
            </w:pPr>
            <w:r w:rsidRPr="00665642">
              <w:t>(2) Administratīvo pārkāpumu procesu par šā likuma 19. panta pirmajā, otrajā, trešajā, ceturtajā, piektajā un astotajā daļā, 20. un 21. pantā minētajiem pārkāpumiem attiecībā uz tirgū laistām un izplatītām ķīmiskām vielām, maisījumiem un biocīdiem veic Veselības inspekcija.</w:t>
            </w:r>
            <w:r>
              <w:t>”</w:t>
            </w:r>
          </w:p>
        </w:tc>
        <w:tc>
          <w:tcPr>
            <w:tcW w:w="4110" w:type="dxa"/>
          </w:tcPr>
          <w:p w14:paraId="3FBD3FF3" w14:textId="77777777" w:rsidR="00F1401E" w:rsidRDefault="00F1401E" w:rsidP="00005B63">
            <w:pPr>
              <w:jc w:val="both"/>
              <w:rPr>
                <w:b/>
                <w:bCs/>
              </w:rPr>
            </w:pPr>
            <w:r w:rsidRPr="00775886">
              <w:rPr>
                <w:b/>
                <w:bCs/>
              </w:rPr>
              <w:t>Veselības ministrijas 2019. gada 26. septembra atzinums Nr.  01-09/</w:t>
            </w:r>
            <w:r w:rsidRPr="00EA50D3">
              <w:rPr>
                <w:b/>
                <w:bCs/>
              </w:rPr>
              <w:t>4112</w:t>
            </w:r>
          </w:p>
          <w:p w14:paraId="4F45E1E0" w14:textId="77777777" w:rsidR="00005B63" w:rsidRPr="00EA50D3" w:rsidRDefault="00005B63" w:rsidP="00F1401E">
            <w:pPr>
              <w:rPr>
                <w:b/>
                <w:bCs/>
              </w:rPr>
            </w:pPr>
          </w:p>
          <w:p w14:paraId="2CA78D41" w14:textId="5A4B332E" w:rsidR="00F1401E" w:rsidRPr="00EA50D3" w:rsidRDefault="00F1401E" w:rsidP="00005B63">
            <w:pPr>
              <w:jc w:val="both"/>
              <w:rPr>
                <w:bCs/>
              </w:rPr>
            </w:pPr>
            <w:r w:rsidRPr="00EA50D3">
              <w:rPr>
                <w:bCs/>
              </w:rPr>
              <w:t xml:space="preserve">2. Tā kā eksports kā darbība, preci pārvietojot pāri valsts robežai, pārsniedz Veselības inspekcijas kompetenci, kas noteikta ar Ķīmisko vielu likuma 4. panta pirmo daļu, lūdzam likumprojekta </w:t>
            </w:r>
            <w:proofErr w:type="gramStart"/>
            <w:r w:rsidRPr="00EA50D3">
              <w:rPr>
                <w:bCs/>
              </w:rPr>
              <w:t>3.pantā</w:t>
            </w:r>
            <w:proofErr w:type="gramEnd"/>
            <w:r w:rsidRPr="00EA50D3">
              <w:rPr>
                <w:bCs/>
              </w:rPr>
              <w:t>,  attiecībā uz Ķīmisko vielu likuma 24.panta otrajā daļā noteikto Veselības inspekcijas kompetenci, izslēgt vārdu „ceturtajā” un izteikt to šādi:</w:t>
            </w:r>
          </w:p>
          <w:p w14:paraId="7E1C2048" w14:textId="3E084A1C" w:rsidR="00F1401E" w:rsidRPr="00775886" w:rsidRDefault="00F1401E" w:rsidP="00005B63">
            <w:pPr>
              <w:jc w:val="both"/>
              <w:rPr>
                <w:bCs/>
              </w:rPr>
            </w:pPr>
            <w:r w:rsidRPr="00EA50D3">
              <w:rPr>
                <w:bCs/>
              </w:rPr>
              <w:t xml:space="preserve">„(2) Administratīvo pārkāpumu procesu par šā likuma 19. panta pirmajā, otrajā, trešajā, piektajā un astotajā daļā, 20. un 21. pantā </w:t>
            </w:r>
            <w:r w:rsidRPr="00775886">
              <w:rPr>
                <w:bCs/>
              </w:rPr>
              <w:t>minētajiem pārkāpumiem attiecībā uz tirgū laistām un izplatītām ķīmiskām vielām, maisījumiem un biocīdiem veic Veselības inspekcija.”</w:t>
            </w:r>
          </w:p>
        </w:tc>
        <w:tc>
          <w:tcPr>
            <w:tcW w:w="3799" w:type="dxa"/>
          </w:tcPr>
          <w:p w14:paraId="05087C7E" w14:textId="77777777" w:rsidR="00F1401E" w:rsidRDefault="00F1401E" w:rsidP="00F1401E">
            <w:pPr>
              <w:jc w:val="both"/>
              <w:rPr>
                <w:rStyle w:val="normaltextrun"/>
                <w:b/>
              </w:rPr>
            </w:pPr>
            <w:r w:rsidRPr="00925DA5">
              <w:rPr>
                <w:rStyle w:val="normaltextrun"/>
                <w:b/>
              </w:rPr>
              <w:t>Iebildums ņemts vērā</w:t>
            </w:r>
            <w:r>
              <w:rPr>
                <w:rStyle w:val="normaltextrun"/>
                <w:b/>
              </w:rPr>
              <w:t>.</w:t>
            </w:r>
          </w:p>
          <w:p w14:paraId="46F73148" w14:textId="77777777" w:rsidR="00005B63" w:rsidRDefault="00005B63" w:rsidP="00F1401E">
            <w:pPr>
              <w:jc w:val="both"/>
              <w:rPr>
                <w:rStyle w:val="normaltextrun"/>
                <w:b/>
              </w:rPr>
            </w:pPr>
          </w:p>
          <w:p w14:paraId="180F6FC2" w14:textId="5578C608" w:rsidR="00F1401E" w:rsidRPr="007A6AAA" w:rsidRDefault="00F1401E" w:rsidP="00F1401E">
            <w:pPr>
              <w:jc w:val="both"/>
              <w:rPr>
                <w:rStyle w:val="normaltextrun"/>
              </w:rPr>
            </w:pPr>
            <w:r>
              <w:rPr>
                <w:bCs/>
              </w:rPr>
              <w:t>L</w:t>
            </w:r>
            <w:r w:rsidRPr="00D95160">
              <w:rPr>
                <w:bCs/>
              </w:rPr>
              <w:t xml:space="preserve">ikumprojekta </w:t>
            </w:r>
            <w:r>
              <w:rPr>
                <w:bCs/>
              </w:rPr>
              <w:t>4</w:t>
            </w:r>
            <w:r w:rsidRPr="00D95160">
              <w:rPr>
                <w:bCs/>
              </w:rPr>
              <w:t>.</w:t>
            </w:r>
            <w:r>
              <w:rPr>
                <w:bCs/>
              </w:rPr>
              <w:t> </w:t>
            </w:r>
            <w:r w:rsidRPr="00D95160">
              <w:rPr>
                <w:bCs/>
              </w:rPr>
              <w:t xml:space="preserve">pantā </w:t>
            </w:r>
            <w:r>
              <w:t xml:space="preserve">(iepriekš 3. pantā) </w:t>
            </w:r>
            <w:r>
              <w:rPr>
                <w:bCs/>
              </w:rPr>
              <w:t>paredzētā</w:t>
            </w:r>
            <w:r w:rsidRPr="00D95160">
              <w:rPr>
                <w:bCs/>
              </w:rPr>
              <w:t xml:space="preserve"> </w:t>
            </w:r>
            <w:r>
              <w:rPr>
                <w:bCs/>
              </w:rPr>
              <w:t xml:space="preserve">likuma </w:t>
            </w:r>
            <w:r w:rsidRPr="00775886">
              <w:rPr>
                <w:bCs/>
              </w:rPr>
              <w:t>24.</w:t>
            </w:r>
            <w:r>
              <w:rPr>
                <w:bCs/>
              </w:rPr>
              <w:t xml:space="preserve"> panta otrajā daļā izslēgts vārds </w:t>
            </w:r>
            <w:r w:rsidRPr="00EA50D3">
              <w:rPr>
                <w:bCs/>
              </w:rPr>
              <w:t>„ceturtajā”</w:t>
            </w:r>
            <w:r w:rsidR="00846E46">
              <w:rPr>
                <w:bCs/>
              </w:rPr>
              <w:t>.</w:t>
            </w:r>
          </w:p>
        </w:tc>
        <w:tc>
          <w:tcPr>
            <w:tcW w:w="3431" w:type="dxa"/>
          </w:tcPr>
          <w:p w14:paraId="11B09402" w14:textId="22A883CA" w:rsidR="00F1401E" w:rsidRPr="00A01451" w:rsidRDefault="00F1401E" w:rsidP="00F1401E">
            <w:pPr>
              <w:pStyle w:val="BodyTextIndent"/>
              <w:ind w:right="57" w:firstLine="0"/>
              <w:rPr>
                <w:b/>
                <w:szCs w:val="24"/>
              </w:rPr>
            </w:pPr>
            <w:r>
              <w:rPr>
                <w:b/>
                <w:szCs w:val="24"/>
              </w:rPr>
              <w:t>“</w:t>
            </w:r>
            <w:r w:rsidRPr="00A01451">
              <w:rPr>
                <w:b/>
                <w:szCs w:val="24"/>
              </w:rPr>
              <w:t>24. pants. Kompetence administratīvo pārkāpumu procesā</w:t>
            </w:r>
          </w:p>
          <w:p w14:paraId="233F13DC" w14:textId="10C331C8" w:rsidR="00F1401E" w:rsidRPr="00A01451" w:rsidRDefault="00F1401E" w:rsidP="00F1401E">
            <w:pPr>
              <w:pStyle w:val="BodyTextIndent"/>
              <w:ind w:right="57" w:firstLine="0"/>
              <w:rPr>
                <w:rFonts w:eastAsia="Calibri"/>
                <w:szCs w:val="24"/>
                <w:highlight w:val="green"/>
                <w:lang w:eastAsia="en-US"/>
              </w:rPr>
            </w:pPr>
            <w:r w:rsidRPr="00A01451">
              <w:rPr>
                <w:color w:val="000000" w:themeColor="text1"/>
                <w:szCs w:val="24"/>
              </w:rPr>
              <w:t>(2) Administratīvā pārkāpuma procesu par šā likuma 19. panta pirmajā, otrajā, trešajā, un piektajā daļā, 20. un 21. pantā minētajiem pārkāpumiem attiecībā uz tirgū laistām un izplatītām ķīmiskām vielām, maisījumiem un biocīdiem veic Veselības inspekcija.</w:t>
            </w:r>
            <w:r>
              <w:rPr>
                <w:color w:val="000000" w:themeColor="text1"/>
                <w:szCs w:val="24"/>
              </w:rPr>
              <w:t>”</w:t>
            </w:r>
          </w:p>
        </w:tc>
      </w:tr>
    </w:tbl>
    <w:p w14:paraId="38ADC35F" w14:textId="5741AEEF" w:rsidR="004C332C" w:rsidRPr="00371588" w:rsidRDefault="004C332C" w:rsidP="000A531F">
      <w:pPr>
        <w:jc w:val="both"/>
        <w:rPr>
          <w:sz w:val="20"/>
          <w:szCs w:val="20"/>
        </w:rPr>
      </w:pPr>
    </w:p>
    <w:tbl>
      <w:tblPr>
        <w:tblW w:w="13884" w:type="dxa"/>
        <w:tblLayout w:type="fixed"/>
        <w:tblLook w:val="00A0" w:firstRow="1" w:lastRow="0" w:firstColumn="1" w:lastColumn="0" w:noHBand="0" w:noVBand="0"/>
      </w:tblPr>
      <w:tblGrid>
        <w:gridCol w:w="4649"/>
        <w:gridCol w:w="9235"/>
      </w:tblGrid>
      <w:tr w:rsidR="004C4960" w:rsidRPr="00371588" w14:paraId="7CBB31F2" w14:textId="77777777" w:rsidTr="006C29E1">
        <w:tc>
          <w:tcPr>
            <w:tcW w:w="4649" w:type="dxa"/>
          </w:tcPr>
          <w:p w14:paraId="6FE1C931" w14:textId="77777777" w:rsidR="004C4960" w:rsidRPr="00371588" w:rsidRDefault="004C4960" w:rsidP="0016680D">
            <w:pPr>
              <w:pStyle w:val="naiskr"/>
              <w:spacing w:before="0" w:after="0"/>
              <w:rPr>
                <w:sz w:val="20"/>
                <w:szCs w:val="20"/>
              </w:rPr>
            </w:pPr>
          </w:p>
          <w:p w14:paraId="43F061E0" w14:textId="77777777" w:rsidR="004C4960" w:rsidRPr="00371588" w:rsidRDefault="004C4960" w:rsidP="0016680D">
            <w:pPr>
              <w:pStyle w:val="naiskr"/>
              <w:spacing w:before="0" w:after="0"/>
            </w:pPr>
            <w:r w:rsidRPr="00371588">
              <w:t>Atbildīgā amatpersona</w:t>
            </w:r>
          </w:p>
        </w:tc>
        <w:tc>
          <w:tcPr>
            <w:tcW w:w="9235" w:type="dxa"/>
          </w:tcPr>
          <w:p w14:paraId="77E798A0" w14:textId="77777777" w:rsidR="004C4960" w:rsidRPr="00371588" w:rsidRDefault="004C4960" w:rsidP="004C4960">
            <w:pPr>
              <w:jc w:val="center"/>
            </w:pPr>
          </w:p>
          <w:p w14:paraId="0AD7328E" w14:textId="72910301" w:rsidR="004C4960" w:rsidRPr="00371588" w:rsidRDefault="004C4960" w:rsidP="004C4960">
            <w:pPr>
              <w:jc w:val="center"/>
            </w:pPr>
            <w:r w:rsidRPr="00371588">
              <w:t>Kristīne Kazerovska</w:t>
            </w:r>
          </w:p>
        </w:tc>
      </w:tr>
      <w:tr w:rsidR="004C4960" w:rsidRPr="00371588" w14:paraId="7E451787" w14:textId="77777777" w:rsidTr="006C29E1">
        <w:tc>
          <w:tcPr>
            <w:tcW w:w="4649" w:type="dxa"/>
          </w:tcPr>
          <w:p w14:paraId="3478123E" w14:textId="77777777" w:rsidR="004C4960" w:rsidRPr="00371588" w:rsidRDefault="004C4960" w:rsidP="0016680D">
            <w:pPr>
              <w:pStyle w:val="naiskr"/>
              <w:spacing w:before="0" w:after="0"/>
              <w:ind w:firstLine="720"/>
            </w:pPr>
          </w:p>
        </w:tc>
        <w:tc>
          <w:tcPr>
            <w:tcW w:w="9235" w:type="dxa"/>
            <w:tcBorders>
              <w:top w:val="single" w:sz="6" w:space="0" w:color="000000"/>
            </w:tcBorders>
          </w:tcPr>
          <w:p w14:paraId="7D609BC7" w14:textId="77777777" w:rsidR="004C4960" w:rsidRPr="00371588" w:rsidRDefault="004C4960" w:rsidP="0016680D">
            <w:pPr>
              <w:pStyle w:val="naisc"/>
              <w:spacing w:before="0" w:after="0"/>
              <w:ind w:firstLine="720"/>
            </w:pPr>
            <w:r w:rsidRPr="00371588">
              <w:t>(paraksts*)</w:t>
            </w:r>
          </w:p>
        </w:tc>
      </w:tr>
    </w:tbl>
    <w:p w14:paraId="3BA48829" w14:textId="77777777" w:rsidR="004C4960" w:rsidRPr="00371588" w:rsidRDefault="004C4960" w:rsidP="004C4960">
      <w:pPr>
        <w:pStyle w:val="naisf"/>
        <w:spacing w:before="0" w:after="0"/>
        <w:ind w:firstLine="0"/>
        <w:rPr>
          <w:sz w:val="16"/>
          <w:szCs w:val="16"/>
        </w:rPr>
      </w:pPr>
    </w:p>
    <w:p w14:paraId="320858F3" w14:textId="77777777" w:rsidR="004C4960" w:rsidRPr="00371588" w:rsidRDefault="004C4960" w:rsidP="004C4960">
      <w:pPr>
        <w:pStyle w:val="naisf"/>
        <w:spacing w:before="0" w:after="0"/>
        <w:ind w:firstLine="720"/>
      </w:pPr>
      <w:r w:rsidRPr="00371588">
        <w:t>Piezīme. * Dokumenta rekvizītu "paraksts" neaizpilda, ja elektroniskais dokuments ir sagatavots atbilstoši normatīvajiem aktiem par elektronisko dokumentu noformēšanu.</w:t>
      </w:r>
    </w:p>
    <w:p w14:paraId="751353CE" w14:textId="77777777" w:rsidR="00196EEE" w:rsidRPr="00371588" w:rsidRDefault="00196EEE" w:rsidP="004C4960">
      <w:pPr>
        <w:pStyle w:val="naisf"/>
        <w:spacing w:before="0" w:after="0"/>
        <w:ind w:firstLine="720"/>
      </w:pPr>
    </w:p>
    <w:p w14:paraId="56EF8A78" w14:textId="77777777" w:rsidR="000B7F94" w:rsidRDefault="000B7F94" w:rsidP="00196EEE">
      <w:pPr>
        <w:pStyle w:val="naisf"/>
        <w:spacing w:before="0" w:after="0"/>
        <w:ind w:left="2160" w:firstLine="720"/>
        <w:jc w:val="left"/>
      </w:pPr>
    </w:p>
    <w:p w14:paraId="0C2FEC02" w14:textId="326A8A73" w:rsidR="00196EEE" w:rsidRPr="00371588" w:rsidRDefault="00196EEE" w:rsidP="00196EEE">
      <w:pPr>
        <w:pStyle w:val="naisf"/>
        <w:spacing w:before="0" w:after="0"/>
        <w:ind w:left="2160" w:firstLine="720"/>
        <w:jc w:val="left"/>
      </w:pPr>
      <w:r w:rsidRPr="00371588">
        <w:t>Kristīne Kazerovska</w:t>
      </w:r>
    </w:p>
    <w:tbl>
      <w:tblPr>
        <w:tblW w:w="0" w:type="auto"/>
        <w:tblLook w:val="00A0" w:firstRow="1" w:lastRow="0" w:firstColumn="1" w:lastColumn="0" w:noHBand="0" w:noVBand="0"/>
      </w:tblPr>
      <w:tblGrid>
        <w:gridCol w:w="8268"/>
      </w:tblGrid>
      <w:tr w:rsidR="00196EEE" w:rsidRPr="00371588" w14:paraId="656324B6" w14:textId="77777777" w:rsidTr="0016680D">
        <w:tc>
          <w:tcPr>
            <w:tcW w:w="8268" w:type="dxa"/>
            <w:tcBorders>
              <w:top w:val="single" w:sz="4" w:space="0" w:color="000000"/>
            </w:tcBorders>
          </w:tcPr>
          <w:p w14:paraId="257DC7B5" w14:textId="3ABAABBE" w:rsidR="00196EEE" w:rsidRPr="00371588" w:rsidRDefault="00196EEE" w:rsidP="007A434D">
            <w:pPr>
              <w:jc w:val="center"/>
            </w:pPr>
            <w:r w:rsidRPr="00371588">
              <w:t>(par projektu atbildīgās amatpersonas vārds un uzvārds)</w:t>
            </w:r>
          </w:p>
        </w:tc>
      </w:tr>
      <w:tr w:rsidR="00196EEE" w:rsidRPr="00371588" w14:paraId="15C89FC8" w14:textId="77777777" w:rsidTr="0016680D">
        <w:tc>
          <w:tcPr>
            <w:tcW w:w="8268" w:type="dxa"/>
            <w:tcBorders>
              <w:bottom w:val="single" w:sz="4" w:space="0" w:color="000000"/>
            </w:tcBorders>
          </w:tcPr>
          <w:p w14:paraId="278433EC" w14:textId="194E9D5A" w:rsidR="00196EEE" w:rsidRPr="00371588" w:rsidRDefault="00196EEE" w:rsidP="00196EEE">
            <w:pPr>
              <w:pStyle w:val="naisf"/>
              <w:spacing w:before="0" w:after="0"/>
              <w:ind w:left="2160" w:hanging="2126"/>
              <w:jc w:val="center"/>
            </w:pPr>
            <w:r w:rsidRPr="00371588">
              <w:t>Vides aizsardzības departamenta Piesārņojuma novēršanas nodaļas vecākā eksperte</w:t>
            </w:r>
          </w:p>
        </w:tc>
      </w:tr>
      <w:tr w:rsidR="00196EEE" w:rsidRPr="00371588" w14:paraId="28C5B43B" w14:textId="77777777" w:rsidTr="0016680D">
        <w:tc>
          <w:tcPr>
            <w:tcW w:w="8268" w:type="dxa"/>
            <w:tcBorders>
              <w:top w:val="single" w:sz="4" w:space="0" w:color="000000"/>
            </w:tcBorders>
          </w:tcPr>
          <w:p w14:paraId="4CA6743A" w14:textId="1636EDB6" w:rsidR="00196EEE" w:rsidRPr="00371588" w:rsidRDefault="00196EEE" w:rsidP="007A434D">
            <w:pPr>
              <w:jc w:val="center"/>
            </w:pPr>
            <w:r w:rsidRPr="00371588">
              <w:t>(amats)</w:t>
            </w:r>
          </w:p>
        </w:tc>
      </w:tr>
      <w:tr w:rsidR="00196EEE" w:rsidRPr="00371588" w14:paraId="6D8B450D" w14:textId="77777777" w:rsidTr="0016680D">
        <w:tc>
          <w:tcPr>
            <w:tcW w:w="8268" w:type="dxa"/>
            <w:tcBorders>
              <w:bottom w:val="single" w:sz="4" w:space="0" w:color="000000"/>
            </w:tcBorders>
          </w:tcPr>
          <w:p w14:paraId="43A00922" w14:textId="3B9DB6D4" w:rsidR="00196EEE" w:rsidRPr="00371588" w:rsidRDefault="00196EEE" w:rsidP="00196EEE">
            <w:pPr>
              <w:pStyle w:val="naisf"/>
              <w:spacing w:before="0" w:after="0"/>
              <w:ind w:left="2160" w:hanging="425"/>
              <w:jc w:val="left"/>
            </w:pPr>
            <w:r w:rsidRPr="00371588">
              <w:t>tālr. nr.: 67026516</w:t>
            </w:r>
          </w:p>
        </w:tc>
      </w:tr>
      <w:tr w:rsidR="00196EEE" w:rsidRPr="00371588" w14:paraId="73539531" w14:textId="77777777" w:rsidTr="0016680D">
        <w:tc>
          <w:tcPr>
            <w:tcW w:w="8268" w:type="dxa"/>
            <w:tcBorders>
              <w:top w:val="single" w:sz="4" w:space="0" w:color="000000"/>
            </w:tcBorders>
          </w:tcPr>
          <w:p w14:paraId="12E4EC8D" w14:textId="3217A69A" w:rsidR="00196EEE" w:rsidRPr="00371588" w:rsidRDefault="00196EEE" w:rsidP="007A434D">
            <w:pPr>
              <w:jc w:val="center"/>
            </w:pPr>
            <w:r w:rsidRPr="00371588">
              <w:t>(</w:t>
            </w:r>
            <w:r w:rsidR="006D564A" w:rsidRPr="00371588">
              <w:t>tālruņa numurs</w:t>
            </w:r>
            <w:r w:rsidRPr="00371588">
              <w:t>)</w:t>
            </w:r>
          </w:p>
        </w:tc>
      </w:tr>
      <w:tr w:rsidR="00196EEE" w:rsidRPr="00371588" w14:paraId="61532201" w14:textId="77777777" w:rsidTr="0016680D">
        <w:tc>
          <w:tcPr>
            <w:tcW w:w="8268" w:type="dxa"/>
            <w:tcBorders>
              <w:bottom w:val="single" w:sz="4" w:space="0" w:color="000000"/>
            </w:tcBorders>
          </w:tcPr>
          <w:p w14:paraId="688F6CF0" w14:textId="1FBE899D" w:rsidR="00196EEE" w:rsidRPr="00371588" w:rsidRDefault="000A7B5B" w:rsidP="00196EEE">
            <w:pPr>
              <w:jc w:val="center"/>
            </w:pPr>
            <w:r>
              <w:t>K</w:t>
            </w:r>
            <w:r w:rsidR="00196EEE" w:rsidRPr="00371588">
              <w:t>ristine.</w:t>
            </w:r>
            <w:r>
              <w:t>K</w:t>
            </w:r>
            <w:r w:rsidR="00196EEE" w:rsidRPr="00371588">
              <w:t>azerovska@varam.gov.lv</w:t>
            </w:r>
          </w:p>
        </w:tc>
      </w:tr>
      <w:tr w:rsidR="00196EEE" w:rsidRPr="00371588" w14:paraId="08E4C3C2" w14:textId="77777777" w:rsidTr="0016680D">
        <w:tc>
          <w:tcPr>
            <w:tcW w:w="8268" w:type="dxa"/>
            <w:tcBorders>
              <w:top w:val="single" w:sz="4" w:space="0" w:color="000000"/>
            </w:tcBorders>
          </w:tcPr>
          <w:p w14:paraId="4D4C7301" w14:textId="77777777" w:rsidR="00196EEE" w:rsidRPr="00371588" w:rsidRDefault="00196EEE" w:rsidP="0016680D">
            <w:pPr>
              <w:jc w:val="center"/>
            </w:pPr>
            <w:r w:rsidRPr="00371588">
              <w:t>(e-pasta adrese)</w:t>
            </w:r>
          </w:p>
        </w:tc>
      </w:tr>
    </w:tbl>
    <w:p w14:paraId="1AFF1E24" w14:textId="67865F5B" w:rsidR="00D40FF7" w:rsidRPr="00371588" w:rsidRDefault="00D40FF7" w:rsidP="000A531F">
      <w:pPr>
        <w:jc w:val="both"/>
        <w:rPr>
          <w:sz w:val="20"/>
          <w:szCs w:val="20"/>
        </w:rPr>
      </w:pPr>
    </w:p>
    <w:sectPr w:rsidR="00D40FF7" w:rsidRPr="00371588" w:rsidSect="0016680D">
      <w:headerReference w:type="even" r:id="rId10"/>
      <w:headerReference w:type="default" r:id="rId11"/>
      <w:footerReference w:type="default" r:id="rId12"/>
      <w:footerReference w:type="first" r:id="rId13"/>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A8115" w14:textId="77777777" w:rsidR="00005B63" w:rsidRDefault="00005B63" w:rsidP="000A531F">
      <w:r>
        <w:separator/>
      </w:r>
    </w:p>
  </w:endnote>
  <w:endnote w:type="continuationSeparator" w:id="0">
    <w:p w14:paraId="27395AE4" w14:textId="77777777" w:rsidR="00005B63" w:rsidRDefault="00005B63" w:rsidP="000A531F">
      <w:r>
        <w:continuationSeparator/>
      </w:r>
    </w:p>
  </w:endnote>
  <w:endnote w:type="continuationNotice" w:id="1">
    <w:p w14:paraId="3ED3D53A" w14:textId="77777777" w:rsidR="00005B63" w:rsidRDefault="00005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3C159" w14:textId="505F3F9B" w:rsidR="00005B63" w:rsidRPr="005B2325" w:rsidRDefault="00005B63" w:rsidP="005B2325">
    <w:pPr>
      <w:pStyle w:val="Footer"/>
      <w:rPr>
        <w:bCs/>
        <w:sz w:val="20"/>
        <w:szCs w:val="20"/>
        <w:lang w:eastAsia="ko-KR"/>
      </w:rPr>
    </w:pPr>
    <w:r>
      <w:rPr>
        <w:bCs/>
        <w:sz w:val="20"/>
        <w:szCs w:val="20"/>
        <w:lang w:eastAsia="ko-KR"/>
      </w:rPr>
      <w:t>VARAMIzz_220120_</w:t>
    </w:r>
    <w:r w:rsidRPr="005B2325">
      <w:rPr>
        <w:bCs/>
        <w:sz w:val="20"/>
        <w:szCs w:val="20"/>
        <w:lang w:eastAsia="ko-KR"/>
      </w:rPr>
      <w:t>groz ĶVL_LAPK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09B15" w14:textId="7117F918" w:rsidR="00005B63" w:rsidRPr="005B2325" w:rsidRDefault="00005B63" w:rsidP="005B2325">
    <w:pPr>
      <w:pStyle w:val="Footer"/>
      <w:rPr>
        <w:bCs/>
        <w:sz w:val="20"/>
        <w:szCs w:val="20"/>
        <w:lang w:eastAsia="ko-KR"/>
      </w:rPr>
    </w:pPr>
    <w:r>
      <w:rPr>
        <w:bCs/>
        <w:sz w:val="20"/>
        <w:szCs w:val="20"/>
        <w:lang w:eastAsia="ko-KR"/>
      </w:rPr>
      <w:t>VARAMIzz_220120_</w:t>
    </w:r>
    <w:r w:rsidRPr="005B2325">
      <w:rPr>
        <w:bCs/>
        <w:sz w:val="20"/>
        <w:szCs w:val="20"/>
        <w:lang w:eastAsia="ko-KR"/>
      </w:rPr>
      <w:t>groz ĶVL_LAPK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842DF" w14:textId="77777777" w:rsidR="00005B63" w:rsidRDefault="00005B63" w:rsidP="000A531F">
      <w:r>
        <w:separator/>
      </w:r>
    </w:p>
  </w:footnote>
  <w:footnote w:type="continuationSeparator" w:id="0">
    <w:p w14:paraId="2BCD1CE7" w14:textId="77777777" w:rsidR="00005B63" w:rsidRDefault="00005B63" w:rsidP="000A531F">
      <w:r>
        <w:continuationSeparator/>
      </w:r>
    </w:p>
  </w:footnote>
  <w:footnote w:type="continuationNotice" w:id="1">
    <w:p w14:paraId="3C0E438E" w14:textId="77777777" w:rsidR="00005B63" w:rsidRDefault="00005B63"/>
  </w:footnote>
  <w:footnote w:id="2">
    <w:p w14:paraId="3222F005" w14:textId="77777777" w:rsidR="00005B63" w:rsidRPr="00827CD8" w:rsidRDefault="00005B63" w:rsidP="00925DA5">
      <w:pPr>
        <w:pStyle w:val="FootnoteText"/>
      </w:pPr>
      <w:r w:rsidRPr="00827CD8">
        <w:rPr>
          <w:rStyle w:val="FootnoteReference"/>
        </w:rPr>
        <w:footnoteRef/>
      </w:r>
      <w:r w:rsidRPr="00827CD8">
        <w:t xml:space="preserve"> Sk. </w:t>
      </w:r>
      <w:proofErr w:type="gramStart"/>
      <w:r w:rsidRPr="00827CD8">
        <w:t>2018.gada</w:t>
      </w:r>
      <w:proofErr w:type="gramEnd"/>
      <w:r w:rsidRPr="00827CD8">
        <w:t xml:space="preserve"> 12.februāra likumprojekta 3.punktu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5D9C" w14:textId="77777777" w:rsidR="00005B63" w:rsidRDefault="00005B63" w:rsidP="001668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F5FE32" w14:textId="77777777" w:rsidR="00005B63" w:rsidRDefault="00005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D1FCB" w14:textId="77777777" w:rsidR="00005B63" w:rsidRDefault="00005B63" w:rsidP="001668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0E6F">
      <w:rPr>
        <w:rStyle w:val="PageNumber"/>
        <w:noProof/>
      </w:rPr>
      <w:t>29</w:t>
    </w:r>
    <w:r>
      <w:rPr>
        <w:rStyle w:val="PageNumber"/>
      </w:rPr>
      <w:fldChar w:fldCharType="end"/>
    </w:r>
  </w:p>
  <w:p w14:paraId="11F96333" w14:textId="77777777" w:rsidR="00005B63" w:rsidRDefault="00005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53A"/>
    <w:multiLevelType w:val="hybridMultilevel"/>
    <w:tmpl w:val="647EB772"/>
    <w:lvl w:ilvl="0" w:tplc="FF782D3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3B60D9B"/>
    <w:multiLevelType w:val="hybridMultilevel"/>
    <w:tmpl w:val="27403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1D4515"/>
    <w:multiLevelType w:val="hybridMultilevel"/>
    <w:tmpl w:val="4FB67036"/>
    <w:lvl w:ilvl="0" w:tplc="613EF0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066B3C"/>
    <w:multiLevelType w:val="hybridMultilevel"/>
    <w:tmpl w:val="D0DAD8C0"/>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E2B2AA0"/>
    <w:multiLevelType w:val="multilevel"/>
    <w:tmpl w:val="092C35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55E6F76"/>
    <w:multiLevelType w:val="hybridMultilevel"/>
    <w:tmpl w:val="9BE072A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21B43D13"/>
    <w:multiLevelType w:val="hybridMultilevel"/>
    <w:tmpl w:val="E5EAC866"/>
    <w:lvl w:ilvl="0" w:tplc="EB8AC24E">
      <w:start w:val="1"/>
      <w:numFmt w:val="decimal"/>
      <w:lvlText w:val="%1."/>
      <w:lvlJc w:val="left"/>
      <w:pPr>
        <w:ind w:left="360" w:hanging="360"/>
      </w:pPr>
      <w:rPr>
        <w:rFonts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3495CB7"/>
    <w:multiLevelType w:val="hybridMultilevel"/>
    <w:tmpl w:val="83B2BEB0"/>
    <w:lvl w:ilvl="0" w:tplc="C76E3938">
      <w:start w:val="3"/>
      <w:numFmt w:val="decimal"/>
      <w:lvlText w:val="%1."/>
      <w:lvlJc w:val="left"/>
      <w:pPr>
        <w:ind w:left="360" w:hanging="360"/>
      </w:pPr>
      <w:rPr>
        <w:rFonts w:ascii="Times New Roman" w:hAnsi="Times New Roman"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52705DD"/>
    <w:multiLevelType w:val="hybridMultilevel"/>
    <w:tmpl w:val="1968EB2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9" w15:restartNumberingAfterBreak="0">
    <w:nsid w:val="269738C8"/>
    <w:multiLevelType w:val="hybridMultilevel"/>
    <w:tmpl w:val="B17A426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1A23FB4"/>
    <w:multiLevelType w:val="hybridMultilevel"/>
    <w:tmpl w:val="E062A0B2"/>
    <w:lvl w:ilvl="0" w:tplc="905EF7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4100F7B"/>
    <w:multiLevelType w:val="hybridMultilevel"/>
    <w:tmpl w:val="0B12FCF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6761C76"/>
    <w:multiLevelType w:val="hybridMultilevel"/>
    <w:tmpl w:val="CE3453D2"/>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45D24A0E"/>
    <w:multiLevelType w:val="hybridMultilevel"/>
    <w:tmpl w:val="AC863114"/>
    <w:lvl w:ilvl="0" w:tplc="452E7018">
      <w:start w:val="2"/>
      <w:numFmt w:val="decimal"/>
      <w:lvlText w:val="%1."/>
      <w:lvlJc w:val="left"/>
      <w:pPr>
        <w:ind w:left="360" w:hanging="360"/>
      </w:pPr>
      <w:rPr>
        <w:rFonts w:ascii="Times New Roman" w:hAnsi="Times New Roman"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4C940C6A"/>
    <w:multiLevelType w:val="hybridMultilevel"/>
    <w:tmpl w:val="9B024C16"/>
    <w:lvl w:ilvl="0" w:tplc="39DC077C">
      <w:start w:val="1"/>
      <w:numFmt w:val="decimal"/>
      <w:lvlText w:val="%1."/>
      <w:lvlJc w:val="left"/>
      <w:pPr>
        <w:ind w:left="360" w:hanging="360"/>
      </w:pPr>
      <w:rPr>
        <w:rFonts w:ascii="Times New Roman" w:hAnsi="Times New Roman"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67B79DE"/>
    <w:multiLevelType w:val="hybridMultilevel"/>
    <w:tmpl w:val="8FC271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9EF682D"/>
    <w:multiLevelType w:val="hybridMultilevel"/>
    <w:tmpl w:val="4ABC5E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372047"/>
    <w:multiLevelType w:val="hybridMultilevel"/>
    <w:tmpl w:val="32821D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6522999"/>
    <w:multiLevelType w:val="hybridMultilevel"/>
    <w:tmpl w:val="256C2C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73B090F"/>
    <w:multiLevelType w:val="hybridMultilevel"/>
    <w:tmpl w:val="122EF44E"/>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6E3F444B"/>
    <w:multiLevelType w:val="hybridMultilevel"/>
    <w:tmpl w:val="7CA6492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1" w15:restartNumberingAfterBreak="0">
    <w:nsid w:val="6E770A5A"/>
    <w:multiLevelType w:val="hybridMultilevel"/>
    <w:tmpl w:val="26DC356E"/>
    <w:lvl w:ilvl="0" w:tplc="E73A61E6">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0DD15BA"/>
    <w:multiLevelType w:val="multilevel"/>
    <w:tmpl w:val="8E3E4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621F26"/>
    <w:multiLevelType w:val="hybridMultilevel"/>
    <w:tmpl w:val="B44405FC"/>
    <w:lvl w:ilvl="0" w:tplc="F10AA54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A4C0E7B"/>
    <w:multiLevelType w:val="hybridMultilevel"/>
    <w:tmpl w:val="27403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C843004"/>
    <w:multiLevelType w:val="hybridMultilevel"/>
    <w:tmpl w:val="2202E718"/>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1"/>
  </w:num>
  <w:num w:numId="2">
    <w:abstractNumId w:val="1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8"/>
  </w:num>
  <w:num w:numId="6">
    <w:abstractNumId w:val="10"/>
  </w:num>
  <w:num w:numId="7">
    <w:abstractNumId w:val="2"/>
  </w:num>
  <w:num w:numId="8">
    <w:abstractNumId w:val="0"/>
  </w:num>
  <w:num w:numId="9">
    <w:abstractNumId w:val="18"/>
  </w:num>
  <w:num w:numId="10">
    <w:abstractNumId w:val="1"/>
  </w:num>
  <w:num w:numId="11">
    <w:abstractNumId w:val="2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22"/>
  </w:num>
  <w:num w:numId="16">
    <w:abstractNumId w:val="6"/>
  </w:num>
  <w:num w:numId="17">
    <w:abstractNumId w:val="23"/>
  </w:num>
  <w:num w:numId="18">
    <w:abstractNumId w:val="11"/>
  </w:num>
  <w:num w:numId="19">
    <w:abstractNumId w:val="19"/>
  </w:num>
  <w:num w:numId="20">
    <w:abstractNumId w:val="9"/>
  </w:num>
  <w:num w:numId="21">
    <w:abstractNumId w:val="3"/>
  </w:num>
  <w:num w:numId="22">
    <w:abstractNumId w:val="12"/>
  </w:num>
  <w:num w:numId="23">
    <w:abstractNumId w:val="25"/>
  </w:num>
  <w:num w:numId="24">
    <w:abstractNumId w:val="5"/>
  </w:num>
  <w:num w:numId="25">
    <w:abstractNumId w:val="4"/>
  </w:num>
  <w:num w:numId="26">
    <w:abstractNumId w:val="13"/>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1F"/>
    <w:rsid w:val="00001C90"/>
    <w:rsid w:val="00002398"/>
    <w:rsid w:val="00005311"/>
    <w:rsid w:val="00005B63"/>
    <w:rsid w:val="00007A39"/>
    <w:rsid w:val="00021AE9"/>
    <w:rsid w:val="000226A5"/>
    <w:rsid w:val="00023C08"/>
    <w:rsid w:val="00025F0E"/>
    <w:rsid w:val="0003114C"/>
    <w:rsid w:val="00033F4A"/>
    <w:rsid w:val="00036659"/>
    <w:rsid w:val="000400C2"/>
    <w:rsid w:val="00041F13"/>
    <w:rsid w:val="00043ADA"/>
    <w:rsid w:val="00044F89"/>
    <w:rsid w:val="00054FE8"/>
    <w:rsid w:val="000560FE"/>
    <w:rsid w:val="000575DA"/>
    <w:rsid w:val="00061A88"/>
    <w:rsid w:val="0006523D"/>
    <w:rsid w:val="000678AF"/>
    <w:rsid w:val="0007105B"/>
    <w:rsid w:val="00074204"/>
    <w:rsid w:val="000826D6"/>
    <w:rsid w:val="00086745"/>
    <w:rsid w:val="00097479"/>
    <w:rsid w:val="000A15ED"/>
    <w:rsid w:val="000A39DD"/>
    <w:rsid w:val="000A3C85"/>
    <w:rsid w:val="000A531F"/>
    <w:rsid w:val="000A7B5B"/>
    <w:rsid w:val="000B04B0"/>
    <w:rsid w:val="000B2D23"/>
    <w:rsid w:val="000B6D4A"/>
    <w:rsid w:val="000B7F94"/>
    <w:rsid w:val="000C1828"/>
    <w:rsid w:val="000C7113"/>
    <w:rsid w:val="000D437A"/>
    <w:rsid w:val="000D4EBC"/>
    <w:rsid w:val="000D64E2"/>
    <w:rsid w:val="000E063D"/>
    <w:rsid w:val="000F11BD"/>
    <w:rsid w:val="000F5B82"/>
    <w:rsid w:val="000F75EF"/>
    <w:rsid w:val="00101436"/>
    <w:rsid w:val="00102478"/>
    <w:rsid w:val="00107248"/>
    <w:rsid w:val="00110CFA"/>
    <w:rsid w:val="001201D3"/>
    <w:rsid w:val="00120513"/>
    <w:rsid w:val="0012349D"/>
    <w:rsid w:val="0013263E"/>
    <w:rsid w:val="00132B60"/>
    <w:rsid w:val="00133030"/>
    <w:rsid w:val="0013486B"/>
    <w:rsid w:val="00134F5B"/>
    <w:rsid w:val="00147E12"/>
    <w:rsid w:val="001535A2"/>
    <w:rsid w:val="00161C98"/>
    <w:rsid w:val="0016507F"/>
    <w:rsid w:val="0016680D"/>
    <w:rsid w:val="00167DA4"/>
    <w:rsid w:val="00170F0D"/>
    <w:rsid w:val="00170F4C"/>
    <w:rsid w:val="001758DD"/>
    <w:rsid w:val="00185761"/>
    <w:rsid w:val="00185895"/>
    <w:rsid w:val="00185BB1"/>
    <w:rsid w:val="00191230"/>
    <w:rsid w:val="001914B9"/>
    <w:rsid w:val="00193677"/>
    <w:rsid w:val="001963EB"/>
    <w:rsid w:val="00196EEE"/>
    <w:rsid w:val="001A216E"/>
    <w:rsid w:val="001A4F3B"/>
    <w:rsid w:val="001A67DB"/>
    <w:rsid w:val="001B03C1"/>
    <w:rsid w:val="001B0C1E"/>
    <w:rsid w:val="001B36DE"/>
    <w:rsid w:val="001B3F46"/>
    <w:rsid w:val="001B4D43"/>
    <w:rsid w:val="001B4F15"/>
    <w:rsid w:val="001B729A"/>
    <w:rsid w:val="001C06FB"/>
    <w:rsid w:val="001C1732"/>
    <w:rsid w:val="001C3F79"/>
    <w:rsid w:val="001C678F"/>
    <w:rsid w:val="001D4B43"/>
    <w:rsid w:val="001E1A14"/>
    <w:rsid w:val="001E427E"/>
    <w:rsid w:val="001F0FA3"/>
    <w:rsid w:val="001F380D"/>
    <w:rsid w:val="001F5395"/>
    <w:rsid w:val="001F7B5C"/>
    <w:rsid w:val="00212D1C"/>
    <w:rsid w:val="00222D22"/>
    <w:rsid w:val="00227B20"/>
    <w:rsid w:val="0023013A"/>
    <w:rsid w:val="00230B7D"/>
    <w:rsid w:val="00231D99"/>
    <w:rsid w:val="00234DD8"/>
    <w:rsid w:val="002372E1"/>
    <w:rsid w:val="00237CCA"/>
    <w:rsid w:val="00241D47"/>
    <w:rsid w:val="002425CC"/>
    <w:rsid w:val="00244313"/>
    <w:rsid w:val="00251198"/>
    <w:rsid w:val="00252790"/>
    <w:rsid w:val="002571A4"/>
    <w:rsid w:val="002621FB"/>
    <w:rsid w:val="00262EC0"/>
    <w:rsid w:val="00264C2F"/>
    <w:rsid w:val="002707BC"/>
    <w:rsid w:val="00270D5D"/>
    <w:rsid w:val="002710B5"/>
    <w:rsid w:val="00280C7A"/>
    <w:rsid w:val="00281A6B"/>
    <w:rsid w:val="00281C2E"/>
    <w:rsid w:val="00283C11"/>
    <w:rsid w:val="00283C70"/>
    <w:rsid w:val="00284F78"/>
    <w:rsid w:val="00286100"/>
    <w:rsid w:val="00286231"/>
    <w:rsid w:val="002903CF"/>
    <w:rsid w:val="00290A9B"/>
    <w:rsid w:val="00291914"/>
    <w:rsid w:val="002940FE"/>
    <w:rsid w:val="00294AD8"/>
    <w:rsid w:val="00297AF9"/>
    <w:rsid w:val="002A1B5E"/>
    <w:rsid w:val="002B1353"/>
    <w:rsid w:val="002B2349"/>
    <w:rsid w:val="002B2A46"/>
    <w:rsid w:val="002C1442"/>
    <w:rsid w:val="002C2D51"/>
    <w:rsid w:val="002C3FE8"/>
    <w:rsid w:val="002C47D9"/>
    <w:rsid w:val="002D30ED"/>
    <w:rsid w:val="002E39BD"/>
    <w:rsid w:val="002F6526"/>
    <w:rsid w:val="002F753C"/>
    <w:rsid w:val="00302611"/>
    <w:rsid w:val="0031323B"/>
    <w:rsid w:val="00313BC9"/>
    <w:rsid w:val="00317ABB"/>
    <w:rsid w:val="00324915"/>
    <w:rsid w:val="00324C5C"/>
    <w:rsid w:val="003370F8"/>
    <w:rsid w:val="00337A02"/>
    <w:rsid w:val="00337FE1"/>
    <w:rsid w:val="00355B7C"/>
    <w:rsid w:val="003657D6"/>
    <w:rsid w:val="00371588"/>
    <w:rsid w:val="003748AB"/>
    <w:rsid w:val="0037776F"/>
    <w:rsid w:val="003802BC"/>
    <w:rsid w:val="00381217"/>
    <w:rsid w:val="00383E2C"/>
    <w:rsid w:val="0038406D"/>
    <w:rsid w:val="0038429E"/>
    <w:rsid w:val="003848CA"/>
    <w:rsid w:val="003859EB"/>
    <w:rsid w:val="0039489D"/>
    <w:rsid w:val="003A2F11"/>
    <w:rsid w:val="003A2FDD"/>
    <w:rsid w:val="003A50FD"/>
    <w:rsid w:val="003B04B9"/>
    <w:rsid w:val="003B0A82"/>
    <w:rsid w:val="003B3586"/>
    <w:rsid w:val="003B616E"/>
    <w:rsid w:val="003C1E3D"/>
    <w:rsid w:val="003C35B2"/>
    <w:rsid w:val="003D2373"/>
    <w:rsid w:val="003D2F25"/>
    <w:rsid w:val="003D3ECF"/>
    <w:rsid w:val="003D6C8B"/>
    <w:rsid w:val="003D6DB2"/>
    <w:rsid w:val="003E0266"/>
    <w:rsid w:val="003E112E"/>
    <w:rsid w:val="003F29D2"/>
    <w:rsid w:val="003F44FD"/>
    <w:rsid w:val="003F67B6"/>
    <w:rsid w:val="004017D5"/>
    <w:rsid w:val="004021B9"/>
    <w:rsid w:val="00405454"/>
    <w:rsid w:val="004065F7"/>
    <w:rsid w:val="00406875"/>
    <w:rsid w:val="00410D7B"/>
    <w:rsid w:val="00411CA9"/>
    <w:rsid w:val="0041482A"/>
    <w:rsid w:val="00415170"/>
    <w:rsid w:val="00417F60"/>
    <w:rsid w:val="00421540"/>
    <w:rsid w:val="004227B4"/>
    <w:rsid w:val="0042550B"/>
    <w:rsid w:val="00432102"/>
    <w:rsid w:val="00432C41"/>
    <w:rsid w:val="00434E76"/>
    <w:rsid w:val="004401DB"/>
    <w:rsid w:val="0044280F"/>
    <w:rsid w:val="00443E8B"/>
    <w:rsid w:val="00447FFB"/>
    <w:rsid w:val="00452567"/>
    <w:rsid w:val="00452E1D"/>
    <w:rsid w:val="00456B92"/>
    <w:rsid w:val="00457251"/>
    <w:rsid w:val="00457893"/>
    <w:rsid w:val="00460F2C"/>
    <w:rsid w:val="004615D6"/>
    <w:rsid w:val="00464625"/>
    <w:rsid w:val="0046705B"/>
    <w:rsid w:val="00467813"/>
    <w:rsid w:val="00474825"/>
    <w:rsid w:val="004760F2"/>
    <w:rsid w:val="00476BE9"/>
    <w:rsid w:val="00477000"/>
    <w:rsid w:val="00482746"/>
    <w:rsid w:val="00483078"/>
    <w:rsid w:val="0048344E"/>
    <w:rsid w:val="00483870"/>
    <w:rsid w:val="00483F00"/>
    <w:rsid w:val="00485BEE"/>
    <w:rsid w:val="00486CEF"/>
    <w:rsid w:val="004911C0"/>
    <w:rsid w:val="00494E04"/>
    <w:rsid w:val="004A3325"/>
    <w:rsid w:val="004A3BC3"/>
    <w:rsid w:val="004A3F4F"/>
    <w:rsid w:val="004A483E"/>
    <w:rsid w:val="004B1F71"/>
    <w:rsid w:val="004B4A96"/>
    <w:rsid w:val="004B6C00"/>
    <w:rsid w:val="004C2F02"/>
    <w:rsid w:val="004C332C"/>
    <w:rsid w:val="004C4960"/>
    <w:rsid w:val="004C5878"/>
    <w:rsid w:val="004D1569"/>
    <w:rsid w:val="004D362F"/>
    <w:rsid w:val="004E0AEA"/>
    <w:rsid w:val="004E2E1C"/>
    <w:rsid w:val="004E4583"/>
    <w:rsid w:val="004E5E34"/>
    <w:rsid w:val="004F47FC"/>
    <w:rsid w:val="004F565F"/>
    <w:rsid w:val="004F65A9"/>
    <w:rsid w:val="004F6786"/>
    <w:rsid w:val="004F6A63"/>
    <w:rsid w:val="004F7FBB"/>
    <w:rsid w:val="005023AC"/>
    <w:rsid w:val="005030C5"/>
    <w:rsid w:val="00503CDB"/>
    <w:rsid w:val="005107C9"/>
    <w:rsid w:val="00510B47"/>
    <w:rsid w:val="005113F4"/>
    <w:rsid w:val="00511A74"/>
    <w:rsid w:val="00513BEE"/>
    <w:rsid w:val="00523477"/>
    <w:rsid w:val="005250AD"/>
    <w:rsid w:val="0052606E"/>
    <w:rsid w:val="00530C74"/>
    <w:rsid w:val="0053729A"/>
    <w:rsid w:val="00540B85"/>
    <w:rsid w:val="00541E90"/>
    <w:rsid w:val="00542631"/>
    <w:rsid w:val="005432DD"/>
    <w:rsid w:val="00546049"/>
    <w:rsid w:val="00554FBA"/>
    <w:rsid w:val="00560B51"/>
    <w:rsid w:val="00562EF2"/>
    <w:rsid w:val="0057302D"/>
    <w:rsid w:val="00581232"/>
    <w:rsid w:val="00581364"/>
    <w:rsid w:val="00591880"/>
    <w:rsid w:val="005A0464"/>
    <w:rsid w:val="005A45C2"/>
    <w:rsid w:val="005A4608"/>
    <w:rsid w:val="005A5CE7"/>
    <w:rsid w:val="005B2325"/>
    <w:rsid w:val="005B5C10"/>
    <w:rsid w:val="005C28F5"/>
    <w:rsid w:val="005D2E6D"/>
    <w:rsid w:val="005D403F"/>
    <w:rsid w:val="005D5906"/>
    <w:rsid w:val="005E222B"/>
    <w:rsid w:val="005E344F"/>
    <w:rsid w:val="005E5404"/>
    <w:rsid w:val="005F07E7"/>
    <w:rsid w:val="005F27B2"/>
    <w:rsid w:val="005F3723"/>
    <w:rsid w:val="005F3F49"/>
    <w:rsid w:val="005F437F"/>
    <w:rsid w:val="005F4B79"/>
    <w:rsid w:val="00601285"/>
    <w:rsid w:val="00602FC3"/>
    <w:rsid w:val="006037FB"/>
    <w:rsid w:val="00606571"/>
    <w:rsid w:val="00613483"/>
    <w:rsid w:val="00613D45"/>
    <w:rsid w:val="006147C9"/>
    <w:rsid w:val="006173FD"/>
    <w:rsid w:val="00617EB2"/>
    <w:rsid w:val="00620A19"/>
    <w:rsid w:val="0062597E"/>
    <w:rsid w:val="00625D42"/>
    <w:rsid w:val="00632495"/>
    <w:rsid w:val="0063295E"/>
    <w:rsid w:val="00632CC6"/>
    <w:rsid w:val="006404DA"/>
    <w:rsid w:val="00641E6D"/>
    <w:rsid w:val="006421BF"/>
    <w:rsid w:val="00644E11"/>
    <w:rsid w:val="006630CC"/>
    <w:rsid w:val="00665642"/>
    <w:rsid w:val="00666C2C"/>
    <w:rsid w:val="0066749A"/>
    <w:rsid w:val="00675FCC"/>
    <w:rsid w:val="00680FFE"/>
    <w:rsid w:val="00682FD1"/>
    <w:rsid w:val="00685222"/>
    <w:rsid w:val="006854E4"/>
    <w:rsid w:val="00690C70"/>
    <w:rsid w:val="006921B7"/>
    <w:rsid w:val="00693260"/>
    <w:rsid w:val="00695E48"/>
    <w:rsid w:val="006A6289"/>
    <w:rsid w:val="006A7FBD"/>
    <w:rsid w:val="006B04E7"/>
    <w:rsid w:val="006B642F"/>
    <w:rsid w:val="006C196E"/>
    <w:rsid w:val="006C29E1"/>
    <w:rsid w:val="006C3195"/>
    <w:rsid w:val="006C703C"/>
    <w:rsid w:val="006D2B28"/>
    <w:rsid w:val="006D534A"/>
    <w:rsid w:val="006D564A"/>
    <w:rsid w:val="006D7258"/>
    <w:rsid w:val="006E5508"/>
    <w:rsid w:val="006F5359"/>
    <w:rsid w:val="006F702B"/>
    <w:rsid w:val="006F7823"/>
    <w:rsid w:val="00700431"/>
    <w:rsid w:val="007030D1"/>
    <w:rsid w:val="00705631"/>
    <w:rsid w:val="00705DBC"/>
    <w:rsid w:val="0071258B"/>
    <w:rsid w:val="00712958"/>
    <w:rsid w:val="00714F34"/>
    <w:rsid w:val="00716D77"/>
    <w:rsid w:val="007210AF"/>
    <w:rsid w:val="00721F70"/>
    <w:rsid w:val="0072704D"/>
    <w:rsid w:val="0074161B"/>
    <w:rsid w:val="0074204F"/>
    <w:rsid w:val="0074211A"/>
    <w:rsid w:val="0074595F"/>
    <w:rsid w:val="00745E51"/>
    <w:rsid w:val="0074733F"/>
    <w:rsid w:val="00747D95"/>
    <w:rsid w:val="00750089"/>
    <w:rsid w:val="00760E6F"/>
    <w:rsid w:val="00761A24"/>
    <w:rsid w:val="007621AC"/>
    <w:rsid w:val="00770AD8"/>
    <w:rsid w:val="00775522"/>
    <w:rsid w:val="00775886"/>
    <w:rsid w:val="00777983"/>
    <w:rsid w:val="0078264A"/>
    <w:rsid w:val="00782A51"/>
    <w:rsid w:val="00783E6E"/>
    <w:rsid w:val="00785B07"/>
    <w:rsid w:val="00791D75"/>
    <w:rsid w:val="00794030"/>
    <w:rsid w:val="007A38FD"/>
    <w:rsid w:val="007A434D"/>
    <w:rsid w:val="007A6A63"/>
    <w:rsid w:val="007A6AAA"/>
    <w:rsid w:val="007B0258"/>
    <w:rsid w:val="007B204E"/>
    <w:rsid w:val="007B28B3"/>
    <w:rsid w:val="007B693D"/>
    <w:rsid w:val="007C24D1"/>
    <w:rsid w:val="007C5CC1"/>
    <w:rsid w:val="007C711E"/>
    <w:rsid w:val="007D01EA"/>
    <w:rsid w:val="007D1A15"/>
    <w:rsid w:val="007D2A73"/>
    <w:rsid w:val="007D3819"/>
    <w:rsid w:val="007D5F5E"/>
    <w:rsid w:val="007E28D4"/>
    <w:rsid w:val="007E3D6E"/>
    <w:rsid w:val="007E52FD"/>
    <w:rsid w:val="007E6055"/>
    <w:rsid w:val="007E6A78"/>
    <w:rsid w:val="007E7A02"/>
    <w:rsid w:val="007F01CB"/>
    <w:rsid w:val="007F227C"/>
    <w:rsid w:val="007F26A7"/>
    <w:rsid w:val="007F39E0"/>
    <w:rsid w:val="007F4D58"/>
    <w:rsid w:val="007F5214"/>
    <w:rsid w:val="007F5790"/>
    <w:rsid w:val="0080163F"/>
    <w:rsid w:val="00803BC8"/>
    <w:rsid w:val="00804B1D"/>
    <w:rsid w:val="0080747B"/>
    <w:rsid w:val="00811CF3"/>
    <w:rsid w:val="008268A6"/>
    <w:rsid w:val="008275EF"/>
    <w:rsid w:val="00831266"/>
    <w:rsid w:val="00840AC1"/>
    <w:rsid w:val="008418F3"/>
    <w:rsid w:val="00842CBC"/>
    <w:rsid w:val="00845C31"/>
    <w:rsid w:val="00846E46"/>
    <w:rsid w:val="00850727"/>
    <w:rsid w:val="008575D8"/>
    <w:rsid w:val="0085764F"/>
    <w:rsid w:val="00857BEB"/>
    <w:rsid w:val="008655DA"/>
    <w:rsid w:val="00865CAC"/>
    <w:rsid w:val="00870B38"/>
    <w:rsid w:val="0087276F"/>
    <w:rsid w:val="008824BD"/>
    <w:rsid w:val="008841ED"/>
    <w:rsid w:val="008857B7"/>
    <w:rsid w:val="00887A13"/>
    <w:rsid w:val="00887CCD"/>
    <w:rsid w:val="00892943"/>
    <w:rsid w:val="008973CB"/>
    <w:rsid w:val="008A3BA3"/>
    <w:rsid w:val="008B1C21"/>
    <w:rsid w:val="008B1CF5"/>
    <w:rsid w:val="008C1A96"/>
    <w:rsid w:val="008C2198"/>
    <w:rsid w:val="008C36CC"/>
    <w:rsid w:val="008C4B72"/>
    <w:rsid w:val="008C7596"/>
    <w:rsid w:val="008D04D3"/>
    <w:rsid w:val="008D3595"/>
    <w:rsid w:val="008D4230"/>
    <w:rsid w:val="008D74D3"/>
    <w:rsid w:val="008D7795"/>
    <w:rsid w:val="008E0F6F"/>
    <w:rsid w:val="008E4190"/>
    <w:rsid w:val="008E5699"/>
    <w:rsid w:val="008E660F"/>
    <w:rsid w:val="008E7AC5"/>
    <w:rsid w:val="008F2092"/>
    <w:rsid w:val="008F374B"/>
    <w:rsid w:val="008F545C"/>
    <w:rsid w:val="008F7246"/>
    <w:rsid w:val="0090000D"/>
    <w:rsid w:val="00901F2D"/>
    <w:rsid w:val="00903F17"/>
    <w:rsid w:val="009042B3"/>
    <w:rsid w:val="009046FD"/>
    <w:rsid w:val="009110ED"/>
    <w:rsid w:val="00911FA2"/>
    <w:rsid w:val="0091303B"/>
    <w:rsid w:val="00914C61"/>
    <w:rsid w:val="00917181"/>
    <w:rsid w:val="00925DA5"/>
    <w:rsid w:val="00926D97"/>
    <w:rsid w:val="00930695"/>
    <w:rsid w:val="0093162D"/>
    <w:rsid w:val="009375E7"/>
    <w:rsid w:val="00940E87"/>
    <w:rsid w:val="009426A5"/>
    <w:rsid w:val="009447C7"/>
    <w:rsid w:val="009475FB"/>
    <w:rsid w:val="0095422F"/>
    <w:rsid w:val="0095734B"/>
    <w:rsid w:val="00960FDF"/>
    <w:rsid w:val="009637BC"/>
    <w:rsid w:val="009678D7"/>
    <w:rsid w:val="009702A1"/>
    <w:rsid w:val="00971B02"/>
    <w:rsid w:val="009724A9"/>
    <w:rsid w:val="00974FA1"/>
    <w:rsid w:val="00977DFB"/>
    <w:rsid w:val="0098513E"/>
    <w:rsid w:val="00985C29"/>
    <w:rsid w:val="009871B0"/>
    <w:rsid w:val="00995CD2"/>
    <w:rsid w:val="00996179"/>
    <w:rsid w:val="009A0032"/>
    <w:rsid w:val="009B1EEA"/>
    <w:rsid w:val="009B36E2"/>
    <w:rsid w:val="009B7432"/>
    <w:rsid w:val="009C1960"/>
    <w:rsid w:val="009C318E"/>
    <w:rsid w:val="009C6D45"/>
    <w:rsid w:val="009C7974"/>
    <w:rsid w:val="009D25BC"/>
    <w:rsid w:val="009D295E"/>
    <w:rsid w:val="009D56D7"/>
    <w:rsid w:val="009D6A37"/>
    <w:rsid w:val="009D6B36"/>
    <w:rsid w:val="009D7D8E"/>
    <w:rsid w:val="009E356F"/>
    <w:rsid w:val="009E765A"/>
    <w:rsid w:val="009F0A10"/>
    <w:rsid w:val="009F7A0C"/>
    <w:rsid w:val="009F7E9F"/>
    <w:rsid w:val="00A00C25"/>
    <w:rsid w:val="00A01451"/>
    <w:rsid w:val="00A10E39"/>
    <w:rsid w:val="00A12079"/>
    <w:rsid w:val="00A14F52"/>
    <w:rsid w:val="00A21186"/>
    <w:rsid w:val="00A22044"/>
    <w:rsid w:val="00A2552A"/>
    <w:rsid w:val="00A26C3C"/>
    <w:rsid w:val="00A31A6E"/>
    <w:rsid w:val="00A321C8"/>
    <w:rsid w:val="00A33FB6"/>
    <w:rsid w:val="00A34347"/>
    <w:rsid w:val="00A34C31"/>
    <w:rsid w:val="00A35DD1"/>
    <w:rsid w:val="00A3675A"/>
    <w:rsid w:val="00A36F3C"/>
    <w:rsid w:val="00A550D9"/>
    <w:rsid w:val="00A61710"/>
    <w:rsid w:val="00A674CE"/>
    <w:rsid w:val="00A67E47"/>
    <w:rsid w:val="00A67E5B"/>
    <w:rsid w:val="00A721D1"/>
    <w:rsid w:val="00A76045"/>
    <w:rsid w:val="00A86E54"/>
    <w:rsid w:val="00A95868"/>
    <w:rsid w:val="00AA30C8"/>
    <w:rsid w:val="00AA3C61"/>
    <w:rsid w:val="00AA6CE9"/>
    <w:rsid w:val="00AA7ED2"/>
    <w:rsid w:val="00AB1A5B"/>
    <w:rsid w:val="00AB1F69"/>
    <w:rsid w:val="00AB2D31"/>
    <w:rsid w:val="00AC1DC6"/>
    <w:rsid w:val="00AC3DD5"/>
    <w:rsid w:val="00AC5873"/>
    <w:rsid w:val="00AC5909"/>
    <w:rsid w:val="00AC59EC"/>
    <w:rsid w:val="00AD080E"/>
    <w:rsid w:val="00AD3969"/>
    <w:rsid w:val="00AD4EC1"/>
    <w:rsid w:val="00AD5259"/>
    <w:rsid w:val="00AD5458"/>
    <w:rsid w:val="00AF7C82"/>
    <w:rsid w:val="00AF7D61"/>
    <w:rsid w:val="00B0578A"/>
    <w:rsid w:val="00B06EE6"/>
    <w:rsid w:val="00B13F24"/>
    <w:rsid w:val="00B15143"/>
    <w:rsid w:val="00B31214"/>
    <w:rsid w:val="00B324B0"/>
    <w:rsid w:val="00B32C74"/>
    <w:rsid w:val="00B36791"/>
    <w:rsid w:val="00B440BA"/>
    <w:rsid w:val="00B44F89"/>
    <w:rsid w:val="00B47224"/>
    <w:rsid w:val="00B47869"/>
    <w:rsid w:val="00B52FAB"/>
    <w:rsid w:val="00B53840"/>
    <w:rsid w:val="00B55E1F"/>
    <w:rsid w:val="00B56D57"/>
    <w:rsid w:val="00B623BC"/>
    <w:rsid w:val="00B641E0"/>
    <w:rsid w:val="00B7329D"/>
    <w:rsid w:val="00B74466"/>
    <w:rsid w:val="00B77DA9"/>
    <w:rsid w:val="00B8032B"/>
    <w:rsid w:val="00B841E5"/>
    <w:rsid w:val="00B86B8E"/>
    <w:rsid w:val="00B87422"/>
    <w:rsid w:val="00B90B64"/>
    <w:rsid w:val="00B93C0B"/>
    <w:rsid w:val="00B93C32"/>
    <w:rsid w:val="00BA0A6B"/>
    <w:rsid w:val="00BA14EB"/>
    <w:rsid w:val="00BA5B5C"/>
    <w:rsid w:val="00BA788D"/>
    <w:rsid w:val="00BB07A5"/>
    <w:rsid w:val="00BB23CC"/>
    <w:rsid w:val="00BB5CE6"/>
    <w:rsid w:val="00BC0E1F"/>
    <w:rsid w:val="00BC3BD1"/>
    <w:rsid w:val="00BC4967"/>
    <w:rsid w:val="00BD29BC"/>
    <w:rsid w:val="00BD6289"/>
    <w:rsid w:val="00BE12EB"/>
    <w:rsid w:val="00BE26A8"/>
    <w:rsid w:val="00BE5546"/>
    <w:rsid w:val="00BF07EA"/>
    <w:rsid w:val="00BF1B43"/>
    <w:rsid w:val="00BF2137"/>
    <w:rsid w:val="00BF56C6"/>
    <w:rsid w:val="00BF6398"/>
    <w:rsid w:val="00BF7E77"/>
    <w:rsid w:val="00C07D5B"/>
    <w:rsid w:val="00C07F74"/>
    <w:rsid w:val="00C10334"/>
    <w:rsid w:val="00C16A76"/>
    <w:rsid w:val="00C16BDF"/>
    <w:rsid w:val="00C17ABB"/>
    <w:rsid w:val="00C20100"/>
    <w:rsid w:val="00C20BDC"/>
    <w:rsid w:val="00C24317"/>
    <w:rsid w:val="00C25ECC"/>
    <w:rsid w:val="00C263B2"/>
    <w:rsid w:val="00C27578"/>
    <w:rsid w:val="00C318A8"/>
    <w:rsid w:val="00C319A3"/>
    <w:rsid w:val="00C35E9A"/>
    <w:rsid w:val="00C36355"/>
    <w:rsid w:val="00C3780B"/>
    <w:rsid w:val="00C405D9"/>
    <w:rsid w:val="00C50CA6"/>
    <w:rsid w:val="00C52DFA"/>
    <w:rsid w:val="00C549F2"/>
    <w:rsid w:val="00C567D8"/>
    <w:rsid w:val="00C60534"/>
    <w:rsid w:val="00C70060"/>
    <w:rsid w:val="00C73711"/>
    <w:rsid w:val="00C759D4"/>
    <w:rsid w:val="00C80664"/>
    <w:rsid w:val="00C80A32"/>
    <w:rsid w:val="00C83C8A"/>
    <w:rsid w:val="00C85E6E"/>
    <w:rsid w:val="00C86642"/>
    <w:rsid w:val="00C93BFD"/>
    <w:rsid w:val="00C95002"/>
    <w:rsid w:val="00CA3294"/>
    <w:rsid w:val="00CA3D07"/>
    <w:rsid w:val="00CA57D8"/>
    <w:rsid w:val="00CB016A"/>
    <w:rsid w:val="00CB61B3"/>
    <w:rsid w:val="00CC260B"/>
    <w:rsid w:val="00CC5295"/>
    <w:rsid w:val="00CC5969"/>
    <w:rsid w:val="00CD3D34"/>
    <w:rsid w:val="00CD59D2"/>
    <w:rsid w:val="00CE0B71"/>
    <w:rsid w:val="00CE39EB"/>
    <w:rsid w:val="00CE3F17"/>
    <w:rsid w:val="00CE574F"/>
    <w:rsid w:val="00CE6807"/>
    <w:rsid w:val="00CF051F"/>
    <w:rsid w:val="00CF08F6"/>
    <w:rsid w:val="00CF228A"/>
    <w:rsid w:val="00CF29E2"/>
    <w:rsid w:val="00CF6F6A"/>
    <w:rsid w:val="00CF7598"/>
    <w:rsid w:val="00D11993"/>
    <w:rsid w:val="00D13C51"/>
    <w:rsid w:val="00D1510D"/>
    <w:rsid w:val="00D17B1F"/>
    <w:rsid w:val="00D2267D"/>
    <w:rsid w:val="00D244BD"/>
    <w:rsid w:val="00D2721C"/>
    <w:rsid w:val="00D27241"/>
    <w:rsid w:val="00D3259B"/>
    <w:rsid w:val="00D32769"/>
    <w:rsid w:val="00D35773"/>
    <w:rsid w:val="00D36992"/>
    <w:rsid w:val="00D40D7D"/>
    <w:rsid w:val="00D40FF7"/>
    <w:rsid w:val="00D56DC4"/>
    <w:rsid w:val="00D602ED"/>
    <w:rsid w:val="00D6413A"/>
    <w:rsid w:val="00D644D4"/>
    <w:rsid w:val="00D666CF"/>
    <w:rsid w:val="00D66F4C"/>
    <w:rsid w:val="00D70B41"/>
    <w:rsid w:val="00D7338F"/>
    <w:rsid w:val="00D746A9"/>
    <w:rsid w:val="00D748D7"/>
    <w:rsid w:val="00D7674A"/>
    <w:rsid w:val="00D8294B"/>
    <w:rsid w:val="00D836ED"/>
    <w:rsid w:val="00D84BD2"/>
    <w:rsid w:val="00D852C1"/>
    <w:rsid w:val="00D92F94"/>
    <w:rsid w:val="00D95160"/>
    <w:rsid w:val="00D95337"/>
    <w:rsid w:val="00D957E6"/>
    <w:rsid w:val="00D95CB0"/>
    <w:rsid w:val="00DA1201"/>
    <w:rsid w:val="00DA2FA4"/>
    <w:rsid w:val="00DA3496"/>
    <w:rsid w:val="00DA5A2A"/>
    <w:rsid w:val="00DA6FFD"/>
    <w:rsid w:val="00DB2B70"/>
    <w:rsid w:val="00DC28A7"/>
    <w:rsid w:val="00DC516A"/>
    <w:rsid w:val="00DD7A3F"/>
    <w:rsid w:val="00DE2BE7"/>
    <w:rsid w:val="00DE2ECE"/>
    <w:rsid w:val="00DE44CF"/>
    <w:rsid w:val="00DF3A83"/>
    <w:rsid w:val="00DF3EEC"/>
    <w:rsid w:val="00DF59E7"/>
    <w:rsid w:val="00DF5CFC"/>
    <w:rsid w:val="00E01F2D"/>
    <w:rsid w:val="00E064A2"/>
    <w:rsid w:val="00E06B4A"/>
    <w:rsid w:val="00E0715E"/>
    <w:rsid w:val="00E13779"/>
    <w:rsid w:val="00E15A76"/>
    <w:rsid w:val="00E22206"/>
    <w:rsid w:val="00E23947"/>
    <w:rsid w:val="00E30093"/>
    <w:rsid w:val="00E326A9"/>
    <w:rsid w:val="00E360B5"/>
    <w:rsid w:val="00E45941"/>
    <w:rsid w:val="00E47736"/>
    <w:rsid w:val="00E51E46"/>
    <w:rsid w:val="00E51EB0"/>
    <w:rsid w:val="00E63407"/>
    <w:rsid w:val="00E63FE0"/>
    <w:rsid w:val="00E659E5"/>
    <w:rsid w:val="00E65AF3"/>
    <w:rsid w:val="00E765F7"/>
    <w:rsid w:val="00E7682C"/>
    <w:rsid w:val="00E76C21"/>
    <w:rsid w:val="00E83435"/>
    <w:rsid w:val="00E90C3C"/>
    <w:rsid w:val="00E9372F"/>
    <w:rsid w:val="00E9389D"/>
    <w:rsid w:val="00E95585"/>
    <w:rsid w:val="00E95EAB"/>
    <w:rsid w:val="00E97484"/>
    <w:rsid w:val="00E97C36"/>
    <w:rsid w:val="00E97E10"/>
    <w:rsid w:val="00EA0FF1"/>
    <w:rsid w:val="00EA19C2"/>
    <w:rsid w:val="00EA35D7"/>
    <w:rsid w:val="00EA3FDF"/>
    <w:rsid w:val="00EA4FB1"/>
    <w:rsid w:val="00EA5070"/>
    <w:rsid w:val="00EA50D3"/>
    <w:rsid w:val="00EA671E"/>
    <w:rsid w:val="00EB5DFF"/>
    <w:rsid w:val="00EC5EBD"/>
    <w:rsid w:val="00ED020A"/>
    <w:rsid w:val="00ED6F60"/>
    <w:rsid w:val="00ED6F7D"/>
    <w:rsid w:val="00EE0A85"/>
    <w:rsid w:val="00EE57C5"/>
    <w:rsid w:val="00EE5A92"/>
    <w:rsid w:val="00EF0205"/>
    <w:rsid w:val="00EF0B8D"/>
    <w:rsid w:val="00EF21E1"/>
    <w:rsid w:val="00F00E1B"/>
    <w:rsid w:val="00F03E64"/>
    <w:rsid w:val="00F07B97"/>
    <w:rsid w:val="00F1401E"/>
    <w:rsid w:val="00F21F58"/>
    <w:rsid w:val="00F25974"/>
    <w:rsid w:val="00F326FC"/>
    <w:rsid w:val="00F33C40"/>
    <w:rsid w:val="00F353E5"/>
    <w:rsid w:val="00F40BE3"/>
    <w:rsid w:val="00F42841"/>
    <w:rsid w:val="00F472DC"/>
    <w:rsid w:val="00F5086B"/>
    <w:rsid w:val="00F6740A"/>
    <w:rsid w:val="00F72633"/>
    <w:rsid w:val="00F75399"/>
    <w:rsid w:val="00F77C0F"/>
    <w:rsid w:val="00F81962"/>
    <w:rsid w:val="00F823E5"/>
    <w:rsid w:val="00F90E24"/>
    <w:rsid w:val="00F95EE5"/>
    <w:rsid w:val="00FA01EA"/>
    <w:rsid w:val="00FA1E64"/>
    <w:rsid w:val="00FA2A57"/>
    <w:rsid w:val="00FA3E05"/>
    <w:rsid w:val="00FB0795"/>
    <w:rsid w:val="00FB5C4F"/>
    <w:rsid w:val="00FC00C8"/>
    <w:rsid w:val="00FC0F37"/>
    <w:rsid w:val="00FC16C2"/>
    <w:rsid w:val="00FC23EC"/>
    <w:rsid w:val="00FC4191"/>
    <w:rsid w:val="00FC456A"/>
    <w:rsid w:val="00FC51C5"/>
    <w:rsid w:val="00FC767A"/>
    <w:rsid w:val="00FD1118"/>
    <w:rsid w:val="00FD50B6"/>
    <w:rsid w:val="00FE5A22"/>
    <w:rsid w:val="00FF2261"/>
    <w:rsid w:val="00FF461F"/>
    <w:rsid w:val="00FF77B0"/>
    <w:rsid w:val="0416A489"/>
    <w:rsid w:val="05387960"/>
    <w:rsid w:val="0548CFD8"/>
    <w:rsid w:val="05A16167"/>
    <w:rsid w:val="061B5FD2"/>
    <w:rsid w:val="06D6291F"/>
    <w:rsid w:val="06F17AE0"/>
    <w:rsid w:val="089F9CC2"/>
    <w:rsid w:val="090A7B32"/>
    <w:rsid w:val="09D2C30B"/>
    <w:rsid w:val="0CA190CF"/>
    <w:rsid w:val="0CD2D55E"/>
    <w:rsid w:val="0FA9E043"/>
    <w:rsid w:val="103A8852"/>
    <w:rsid w:val="10BD2210"/>
    <w:rsid w:val="10F321ED"/>
    <w:rsid w:val="116D9D45"/>
    <w:rsid w:val="14903E0F"/>
    <w:rsid w:val="15EE4DD3"/>
    <w:rsid w:val="1979B5FA"/>
    <w:rsid w:val="1A32CE52"/>
    <w:rsid w:val="1B105E40"/>
    <w:rsid w:val="1D658DF3"/>
    <w:rsid w:val="1E5E96AE"/>
    <w:rsid w:val="23C17F04"/>
    <w:rsid w:val="27060062"/>
    <w:rsid w:val="2808D211"/>
    <w:rsid w:val="290B7B8C"/>
    <w:rsid w:val="29279B2A"/>
    <w:rsid w:val="29353D20"/>
    <w:rsid w:val="2F0AD6AF"/>
    <w:rsid w:val="2F401E08"/>
    <w:rsid w:val="2F70399F"/>
    <w:rsid w:val="2F7A6562"/>
    <w:rsid w:val="2FCB1082"/>
    <w:rsid w:val="3036AB36"/>
    <w:rsid w:val="313FBEB8"/>
    <w:rsid w:val="330206B7"/>
    <w:rsid w:val="342FB67D"/>
    <w:rsid w:val="34B999AD"/>
    <w:rsid w:val="355B4BE2"/>
    <w:rsid w:val="35D195CF"/>
    <w:rsid w:val="3B3E34CB"/>
    <w:rsid w:val="3C1063B5"/>
    <w:rsid w:val="3C3F802F"/>
    <w:rsid w:val="3CD77719"/>
    <w:rsid w:val="3DF30D8A"/>
    <w:rsid w:val="3E07F92F"/>
    <w:rsid w:val="3F092A0E"/>
    <w:rsid w:val="3FB6537B"/>
    <w:rsid w:val="3FCB7736"/>
    <w:rsid w:val="43AC5C39"/>
    <w:rsid w:val="4468FAB4"/>
    <w:rsid w:val="44BE7CD5"/>
    <w:rsid w:val="4797B2CC"/>
    <w:rsid w:val="485B2D4F"/>
    <w:rsid w:val="4A952C04"/>
    <w:rsid w:val="4AC2F70D"/>
    <w:rsid w:val="4AF01F7A"/>
    <w:rsid w:val="4B009103"/>
    <w:rsid w:val="4B080209"/>
    <w:rsid w:val="4C8AF3BC"/>
    <w:rsid w:val="4C94D980"/>
    <w:rsid w:val="4CF372A3"/>
    <w:rsid w:val="4CF69045"/>
    <w:rsid w:val="4D867BFC"/>
    <w:rsid w:val="4F6C08A9"/>
    <w:rsid w:val="50E398DA"/>
    <w:rsid w:val="511127C6"/>
    <w:rsid w:val="5186CCD8"/>
    <w:rsid w:val="518785F8"/>
    <w:rsid w:val="567FB964"/>
    <w:rsid w:val="5718B13F"/>
    <w:rsid w:val="57D76BD4"/>
    <w:rsid w:val="57FC3035"/>
    <w:rsid w:val="5803AE37"/>
    <w:rsid w:val="58613D0C"/>
    <w:rsid w:val="59D7A4DB"/>
    <w:rsid w:val="5A88E10E"/>
    <w:rsid w:val="5C27CE02"/>
    <w:rsid w:val="5CE4A387"/>
    <w:rsid w:val="5D44D37E"/>
    <w:rsid w:val="5D45BE5B"/>
    <w:rsid w:val="5F8425AC"/>
    <w:rsid w:val="5F8A3686"/>
    <w:rsid w:val="5FA462B6"/>
    <w:rsid w:val="5FB5D05E"/>
    <w:rsid w:val="60298D20"/>
    <w:rsid w:val="617A4138"/>
    <w:rsid w:val="62B44922"/>
    <w:rsid w:val="62EBCD29"/>
    <w:rsid w:val="633E095B"/>
    <w:rsid w:val="643E45E5"/>
    <w:rsid w:val="644C8B93"/>
    <w:rsid w:val="65362092"/>
    <w:rsid w:val="6962BB71"/>
    <w:rsid w:val="69FBF260"/>
    <w:rsid w:val="6A1E92E8"/>
    <w:rsid w:val="6B11CBB3"/>
    <w:rsid w:val="6CD405AD"/>
    <w:rsid w:val="6D51CF71"/>
    <w:rsid w:val="6D9642F8"/>
    <w:rsid w:val="6E756D7E"/>
    <w:rsid w:val="6E7EA82A"/>
    <w:rsid w:val="7049A5C2"/>
    <w:rsid w:val="708D18C7"/>
    <w:rsid w:val="72611577"/>
    <w:rsid w:val="72D5B469"/>
    <w:rsid w:val="747661BD"/>
    <w:rsid w:val="74DE8963"/>
    <w:rsid w:val="75F9D827"/>
    <w:rsid w:val="76A50AC1"/>
    <w:rsid w:val="78201EB7"/>
    <w:rsid w:val="79185911"/>
    <w:rsid w:val="7AB0A9F4"/>
    <w:rsid w:val="7D19DA40"/>
    <w:rsid w:val="7EE973AF"/>
    <w:rsid w:val="7F6BD060"/>
    <w:rsid w:val="7FAE89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F1A9"/>
  <w15:docId w15:val="{923E3AD8-5B4C-4CE0-A771-F5F47B14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paragraph" w:styleId="Heading3">
    <w:name w:val="heading 3"/>
    <w:basedOn w:val="Normal"/>
    <w:link w:val="Heading3Char"/>
    <w:uiPriority w:val="99"/>
    <w:unhideWhenUsed/>
    <w:qFormat/>
    <w:rsid w:val="00230B7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531F"/>
    <w:pPr>
      <w:tabs>
        <w:tab w:val="center" w:pos="4153"/>
        <w:tab w:val="right" w:pos="8306"/>
      </w:tabs>
    </w:pPr>
  </w:style>
  <w:style w:type="character" w:customStyle="1" w:styleId="HeaderChar">
    <w:name w:val="Header Char"/>
    <w:basedOn w:val="DefaultParagraphFont"/>
    <w:link w:val="Header"/>
    <w:uiPriority w:val="99"/>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uiPriority w:val="99"/>
    <w:rsid w:val="000A531F"/>
    <w:pPr>
      <w:tabs>
        <w:tab w:val="center" w:pos="4153"/>
        <w:tab w:val="right" w:pos="8306"/>
      </w:tabs>
    </w:pPr>
  </w:style>
  <w:style w:type="character" w:customStyle="1" w:styleId="FooterChar">
    <w:name w:val="Footer Char"/>
    <w:basedOn w:val="DefaultParagraphFont"/>
    <w:link w:val="Footer"/>
    <w:uiPriority w:val="99"/>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
    <w:basedOn w:val="Normal"/>
    <w:link w:val="FootnoteTextChar"/>
    <w:unhideWhenUsed/>
    <w:rsid w:val="005C28F5"/>
    <w:pPr>
      <w:widowControl w:val="0"/>
      <w:jc w:val="both"/>
    </w:pPr>
    <w:rPr>
      <w:rFonts w:eastAsia="Calibri"/>
      <w:sz w:val="20"/>
      <w:szCs w:val="20"/>
      <w:lang w:eastAsia="en-US"/>
    </w:rPr>
  </w:style>
  <w:style w:type="character" w:customStyle="1" w:styleId="FootnoteTextChar">
    <w:name w:val="Footnote Text Char"/>
    <w:aliases w:val="Footnote Char,Fußnote Char1,Fußnote Char Char,Fußnote Char Char Char Char,Char Char,-E Fußnotentext Char,Fußnotentext Ursprung Char,(Diplomarbeit) Char,(Diplomarbeit)1 Char,(Diplomarbeit)2 Char,(Diplomarbeit)3 Char"/>
    <w:basedOn w:val="DefaultParagraphFont"/>
    <w:link w:val="FootnoteText"/>
    <w:rsid w:val="005C28F5"/>
    <w:rPr>
      <w:rFonts w:eastAsia="Calibri" w:cs="Times New Roman"/>
      <w:sz w:val="20"/>
      <w:szCs w:val="20"/>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ūnotenzeichen,stylish,(Footnote Referen"/>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D957E6"/>
    <w:pPr>
      <w:spacing w:after="120"/>
    </w:pPr>
  </w:style>
  <w:style w:type="character" w:customStyle="1" w:styleId="BodyTextChar">
    <w:name w:val="Body Text Char"/>
    <w:basedOn w:val="DefaultParagraphFont"/>
    <w:link w:val="BodyText"/>
    <w:uiPriority w:val="99"/>
    <w:rsid w:val="00D957E6"/>
    <w:rPr>
      <w:rFonts w:eastAsia="Times New Roman" w:cs="Times New Roman"/>
      <w:sz w:val="24"/>
      <w:szCs w:val="24"/>
      <w:lang w:eastAsia="lv-LV"/>
    </w:rPr>
  </w:style>
  <w:style w:type="paragraph" w:styleId="NoSpacing">
    <w:name w:val="No Spacing"/>
    <w:link w:val="NoSpacingChar"/>
    <w:uiPriority w:val="1"/>
    <w:qFormat/>
    <w:rsid w:val="00C567D8"/>
    <w:pPr>
      <w:spacing w:after="0" w:line="240" w:lineRule="auto"/>
    </w:pPr>
    <w:rPr>
      <w:rFonts w:asciiTheme="minorHAnsi" w:hAnsiTheme="minorHAnsi"/>
      <w:sz w:val="22"/>
    </w:rPr>
  </w:style>
  <w:style w:type="character" w:styleId="Hyperlink">
    <w:name w:val="Hyperlink"/>
    <w:basedOn w:val="DefaultParagraphFont"/>
    <w:uiPriority w:val="99"/>
    <w:unhideWhenUsed/>
    <w:rsid w:val="00102478"/>
    <w:rPr>
      <w:color w:val="0000FF" w:themeColor="hyperlink"/>
      <w:u w:val="single"/>
    </w:rPr>
  </w:style>
  <w:style w:type="paragraph" w:styleId="CommentText">
    <w:name w:val="annotation text"/>
    <w:basedOn w:val="Normal"/>
    <w:link w:val="CommentTextChar"/>
    <w:uiPriority w:val="99"/>
    <w:unhideWhenUsed/>
    <w:rsid w:val="00227B20"/>
    <w:rPr>
      <w:sz w:val="20"/>
      <w:szCs w:val="20"/>
    </w:rPr>
  </w:style>
  <w:style w:type="character" w:customStyle="1" w:styleId="CommentTextChar">
    <w:name w:val="Comment Text Char"/>
    <w:basedOn w:val="DefaultParagraphFont"/>
    <w:link w:val="CommentText"/>
    <w:uiPriority w:val="99"/>
    <w:rsid w:val="00227B20"/>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27B20"/>
    <w:rPr>
      <w:b/>
      <w:bCs/>
    </w:rPr>
  </w:style>
  <w:style w:type="character" w:customStyle="1" w:styleId="CommentSubjectChar">
    <w:name w:val="Comment Subject Char"/>
    <w:basedOn w:val="CommentTextChar"/>
    <w:link w:val="CommentSubject"/>
    <w:uiPriority w:val="99"/>
    <w:semiHidden/>
    <w:rsid w:val="00227B20"/>
    <w:rPr>
      <w:rFonts w:eastAsia="Times New Roman" w:cs="Times New Roman"/>
      <w:b/>
      <w:bCs/>
      <w:sz w:val="20"/>
      <w:szCs w:val="20"/>
      <w:lang w:eastAsia="lv-LV"/>
    </w:rPr>
  </w:style>
  <w:style w:type="paragraph" w:styleId="NormalWeb">
    <w:name w:val="Normal (Web)"/>
    <w:basedOn w:val="Normal"/>
    <w:uiPriority w:val="99"/>
    <w:rsid w:val="001B36DE"/>
    <w:pPr>
      <w:spacing w:before="75" w:after="75"/>
    </w:pPr>
  </w:style>
  <w:style w:type="character" w:styleId="Emphasis">
    <w:name w:val="Emphasis"/>
    <w:qFormat/>
    <w:rsid w:val="0016507F"/>
    <w:rPr>
      <w:i/>
      <w:iCs/>
    </w:rPr>
  </w:style>
  <w:style w:type="character" w:customStyle="1" w:styleId="Heading3Char">
    <w:name w:val="Heading 3 Char"/>
    <w:basedOn w:val="DefaultParagraphFont"/>
    <w:link w:val="Heading3"/>
    <w:uiPriority w:val="99"/>
    <w:rsid w:val="00230B7D"/>
    <w:rPr>
      <w:rFonts w:eastAsia="Times New Roman" w:cs="Times New Roman"/>
      <w:b/>
      <w:bCs/>
      <w:sz w:val="27"/>
      <w:szCs w:val="27"/>
      <w:lang w:eastAsia="lv-LV"/>
    </w:rPr>
  </w:style>
  <w:style w:type="paragraph" w:customStyle="1" w:styleId="naiskr">
    <w:name w:val="naiskr"/>
    <w:basedOn w:val="Normal"/>
    <w:rsid w:val="00B623BC"/>
    <w:pPr>
      <w:spacing w:before="75" w:after="75"/>
    </w:pPr>
  </w:style>
  <w:style w:type="paragraph" w:customStyle="1" w:styleId="naisc">
    <w:name w:val="naisc"/>
    <w:basedOn w:val="Normal"/>
    <w:rsid w:val="00B623BC"/>
    <w:pPr>
      <w:spacing w:before="75" w:after="75"/>
      <w:jc w:val="center"/>
    </w:pPr>
  </w:style>
  <w:style w:type="paragraph" w:customStyle="1" w:styleId="paragraph">
    <w:name w:val="paragraph"/>
    <w:basedOn w:val="Normal"/>
    <w:rsid w:val="007E7A02"/>
    <w:pPr>
      <w:spacing w:before="100" w:beforeAutospacing="1" w:after="100" w:afterAutospacing="1"/>
    </w:pPr>
  </w:style>
  <w:style w:type="character" w:customStyle="1" w:styleId="normaltextrun">
    <w:name w:val="normaltextrun"/>
    <w:basedOn w:val="DefaultParagraphFont"/>
    <w:rsid w:val="007E7A02"/>
  </w:style>
  <w:style w:type="character" w:customStyle="1" w:styleId="eop">
    <w:name w:val="eop"/>
    <w:basedOn w:val="DefaultParagraphFont"/>
    <w:rsid w:val="007E7A02"/>
  </w:style>
  <w:style w:type="character" w:customStyle="1" w:styleId="NoSpacingChar">
    <w:name w:val="No Spacing Char"/>
    <w:link w:val="NoSpacing"/>
    <w:uiPriority w:val="1"/>
    <w:rsid w:val="005E344F"/>
    <w:rPr>
      <w:rFonts w:asciiTheme="minorHAnsi" w:hAnsiTheme="minorHAnsi"/>
      <w:sz w:val="22"/>
    </w:rPr>
  </w:style>
  <w:style w:type="paragraph" w:customStyle="1" w:styleId="tv213">
    <w:name w:val="tv213"/>
    <w:basedOn w:val="Normal"/>
    <w:rsid w:val="00EA50D3"/>
    <w:pPr>
      <w:spacing w:before="100" w:beforeAutospacing="1" w:after="100" w:afterAutospacing="1"/>
    </w:pPr>
  </w:style>
  <w:style w:type="paragraph" w:styleId="BodyTextIndent2">
    <w:name w:val="Body Text Indent 2"/>
    <w:basedOn w:val="Normal"/>
    <w:link w:val="BodyTextIndent2Char"/>
    <w:rsid w:val="009C318E"/>
    <w:pPr>
      <w:spacing w:after="120" w:line="480" w:lineRule="auto"/>
      <w:ind w:left="283"/>
    </w:pPr>
    <w:rPr>
      <w:lang w:eastAsia="en-US"/>
    </w:rPr>
  </w:style>
  <w:style w:type="character" w:customStyle="1" w:styleId="BodyTextIndent2Char">
    <w:name w:val="Body Text Indent 2 Char"/>
    <w:basedOn w:val="DefaultParagraphFont"/>
    <w:link w:val="BodyTextIndent2"/>
    <w:rsid w:val="009C318E"/>
    <w:rPr>
      <w:rFonts w:eastAsia="Times New Roman" w:cs="Times New Roman"/>
      <w:sz w:val="24"/>
      <w:szCs w:val="24"/>
    </w:rPr>
  </w:style>
  <w:style w:type="paragraph" w:customStyle="1" w:styleId="CM1">
    <w:name w:val="CM1"/>
    <w:basedOn w:val="Normal"/>
    <w:next w:val="Normal"/>
    <w:uiPriority w:val="99"/>
    <w:rsid w:val="00E63407"/>
    <w:pPr>
      <w:autoSpaceDE w:val="0"/>
      <w:autoSpaceDN w:val="0"/>
      <w:adjustRightInd w:val="0"/>
    </w:pPr>
    <w:rPr>
      <w:rFonts w:eastAsiaTheme="minorHAnsi"/>
      <w:lang w:eastAsia="en-US"/>
    </w:rPr>
  </w:style>
  <w:style w:type="paragraph" w:customStyle="1" w:styleId="CM3">
    <w:name w:val="CM3"/>
    <w:basedOn w:val="Normal"/>
    <w:next w:val="Normal"/>
    <w:uiPriority w:val="99"/>
    <w:rsid w:val="00E63407"/>
    <w:pPr>
      <w:autoSpaceDE w:val="0"/>
      <w:autoSpaceDN w:val="0"/>
      <w:adjustRightInd w:val="0"/>
    </w:pPr>
    <w:rPr>
      <w:rFonts w:eastAsiaTheme="minorHAnsi"/>
      <w:lang w:eastAsia="en-US"/>
    </w:rPr>
  </w:style>
  <w:style w:type="paragraph" w:customStyle="1" w:styleId="CM4">
    <w:name w:val="CM4"/>
    <w:basedOn w:val="Normal"/>
    <w:next w:val="Normal"/>
    <w:uiPriority w:val="99"/>
    <w:rsid w:val="00E63407"/>
    <w:pPr>
      <w:autoSpaceDE w:val="0"/>
      <w:autoSpaceDN w:val="0"/>
      <w:adjustRightInd w:val="0"/>
    </w:pPr>
    <w:rPr>
      <w:rFonts w:eastAsiaTheme="minorHAnsi"/>
      <w:lang w:eastAsia="en-US"/>
    </w:rPr>
  </w:style>
  <w:style w:type="character" w:styleId="Strong">
    <w:name w:val="Strong"/>
    <w:basedOn w:val="DefaultParagraphFont"/>
    <w:uiPriority w:val="22"/>
    <w:qFormat/>
    <w:rsid w:val="00CC260B"/>
    <w:rPr>
      <w:b/>
      <w:bCs/>
    </w:rPr>
  </w:style>
  <w:style w:type="paragraph" w:styleId="Revision">
    <w:name w:val="Revision"/>
    <w:hidden/>
    <w:uiPriority w:val="99"/>
    <w:semiHidden/>
    <w:rsid w:val="003A50FD"/>
    <w:pPr>
      <w:spacing w:after="0" w:line="240" w:lineRule="auto"/>
    </w:pPr>
    <w:rPr>
      <w:rFonts w:eastAsia="Times New Roman" w:cs="Times New Roman"/>
      <w:sz w:val="24"/>
      <w:szCs w:val="24"/>
      <w:lang w:eastAsia="lv-LV"/>
    </w:rPr>
  </w:style>
  <w:style w:type="paragraph" w:customStyle="1" w:styleId="tv2132">
    <w:name w:val="tv2132"/>
    <w:basedOn w:val="Normal"/>
    <w:rsid w:val="0066749A"/>
    <w:pPr>
      <w:spacing w:line="360" w:lineRule="auto"/>
      <w:ind w:firstLine="300"/>
    </w:pPr>
    <w:rPr>
      <w:color w:val="414142"/>
      <w:sz w:val="20"/>
      <w:szCs w:val="20"/>
    </w:rPr>
  </w:style>
  <w:style w:type="paragraph" w:customStyle="1" w:styleId="xmsonormal">
    <w:name w:val="x_msonormal"/>
    <w:basedOn w:val="Normal"/>
    <w:rsid w:val="00695E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3754">
      <w:bodyDiv w:val="1"/>
      <w:marLeft w:val="0"/>
      <w:marRight w:val="0"/>
      <w:marTop w:val="0"/>
      <w:marBottom w:val="0"/>
      <w:divBdr>
        <w:top w:val="none" w:sz="0" w:space="0" w:color="auto"/>
        <w:left w:val="none" w:sz="0" w:space="0" w:color="auto"/>
        <w:bottom w:val="none" w:sz="0" w:space="0" w:color="auto"/>
        <w:right w:val="none" w:sz="0" w:space="0" w:color="auto"/>
      </w:divBdr>
    </w:div>
    <w:div w:id="84542866">
      <w:bodyDiv w:val="1"/>
      <w:marLeft w:val="0"/>
      <w:marRight w:val="0"/>
      <w:marTop w:val="0"/>
      <w:marBottom w:val="0"/>
      <w:divBdr>
        <w:top w:val="none" w:sz="0" w:space="0" w:color="auto"/>
        <w:left w:val="none" w:sz="0" w:space="0" w:color="auto"/>
        <w:bottom w:val="none" w:sz="0" w:space="0" w:color="auto"/>
        <w:right w:val="none" w:sz="0" w:space="0" w:color="auto"/>
      </w:divBdr>
    </w:div>
    <w:div w:id="93550959">
      <w:bodyDiv w:val="1"/>
      <w:marLeft w:val="0"/>
      <w:marRight w:val="0"/>
      <w:marTop w:val="0"/>
      <w:marBottom w:val="0"/>
      <w:divBdr>
        <w:top w:val="none" w:sz="0" w:space="0" w:color="auto"/>
        <w:left w:val="none" w:sz="0" w:space="0" w:color="auto"/>
        <w:bottom w:val="none" w:sz="0" w:space="0" w:color="auto"/>
        <w:right w:val="none" w:sz="0" w:space="0" w:color="auto"/>
      </w:divBdr>
    </w:div>
    <w:div w:id="120002774">
      <w:bodyDiv w:val="1"/>
      <w:marLeft w:val="0"/>
      <w:marRight w:val="0"/>
      <w:marTop w:val="0"/>
      <w:marBottom w:val="0"/>
      <w:divBdr>
        <w:top w:val="none" w:sz="0" w:space="0" w:color="auto"/>
        <w:left w:val="none" w:sz="0" w:space="0" w:color="auto"/>
        <w:bottom w:val="none" w:sz="0" w:space="0" w:color="auto"/>
        <w:right w:val="none" w:sz="0" w:space="0" w:color="auto"/>
      </w:divBdr>
    </w:div>
    <w:div w:id="404303469">
      <w:bodyDiv w:val="1"/>
      <w:marLeft w:val="0"/>
      <w:marRight w:val="0"/>
      <w:marTop w:val="0"/>
      <w:marBottom w:val="0"/>
      <w:divBdr>
        <w:top w:val="none" w:sz="0" w:space="0" w:color="auto"/>
        <w:left w:val="none" w:sz="0" w:space="0" w:color="auto"/>
        <w:bottom w:val="none" w:sz="0" w:space="0" w:color="auto"/>
        <w:right w:val="none" w:sz="0" w:space="0" w:color="auto"/>
      </w:divBdr>
    </w:div>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446386621">
      <w:bodyDiv w:val="1"/>
      <w:marLeft w:val="0"/>
      <w:marRight w:val="0"/>
      <w:marTop w:val="0"/>
      <w:marBottom w:val="0"/>
      <w:divBdr>
        <w:top w:val="none" w:sz="0" w:space="0" w:color="auto"/>
        <w:left w:val="none" w:sz="0" w:space="0" w:color="auto"/>
        <w:bottom w:val="none" w:sz="0" w:space="0" w:color="auto"/>
        <w:right w:val="none" w:sz="0" w:space="0" w:color="auto"/>
      </w:divBdr>
    </w:div>
    <w:div w:id="607586510">
      <w:bodyDiv w:val="1"/>
      <w:marLeft w:val="0"/>
      <w:marRight w:val="0"/>
      <w:marTop w:val="0"/>
      <w:marBottom w:val="0"/>
      <w:divBdr>
        <w:top w:val="none" w:sz="0" w:space="0" w:color="auto"/>
        <w:left w:val="none" w:sz="0" w:space="0" w:color="auto"/>
        <w:bottom w:val="none" w:sz="0" w:space="0" w:color="auto"/>
        <w:right w:val="none" w:sz="0" w:space="0" w:color="auto"/>
      </w:divBdr>
    </w:div>
    <w:div w:id="632906384">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262639257">
      <w:bodyDiv w:val="1"/>
      <w:marLeft w:val="0"/>
      <w:marRight w:val="0"/>
      <w:marTop w:val="0"/>
      <w:marBottom w:val="0"/>
      <w:divBdr>
        <w:top w:val="none" w:sz="0" w:space="0" w:color="auto"/>
        <w:left w:val="none" w:sz="0" w:space="0" w:color="auto"/>
        <w:bottom w:val="none" w:sz="0" w:space="0" w:color="auto"/>
        <w:right w:val="none" w:sz="0" w:space="0" w:color="auto"/>
      </w:divBdr>
    </w:div>
    <w:div w:id="1315331953">
      <w:bodyDiv w:val="1"/>
      <w:marLeft w:val="0"/>
      <w:marRight w:val="0"/>
      <w:marTop w:val="0"/>
      <w:marBottom w:val="0"/>
      <w:divBdr>
        <w:top w:val="none" w:sz="0" w:space="0" w:color="auto"/>
        <w:left w:val="none" w:sz="0" w:space="0" w:color="auto"/>
        <w:bottom w:val="none" w:sz="0" w:space="0" w:color="auto"/>
        <w:right w:val="none" w:sz="0" w:space="0" w:color="auto"/>
      </w:divBdr>
      <w:divsChild>
        <w:div w:id="1000157037">
          <w:marLeft w:val="0"/>
          <w:marRight w:val="0"/>
          <w:marTop w:val="0"/>
          <w:marBottom w:val="0"/>
          <w:divBdr>
            <w:top w:val="none" w:sz="0" w:space="0" w:color="auto"/>
            <w:left w:val="none" w:sz="0" w:space="0" w:color="auto"/>
            <w:bottom w:val="none" w:sz="0" w:space="0" w:color="auto"/>
            <w:right w:val="none" w:sz="0" w:space="0" w:color="auto"/>
          </w:divBdr>
        </w:div>
        <w:div w:id="22554982">
          <w:marLeft w:val="0"/>
          <w:marRight w:val="0"/>
          <w:marTop w:val="0"/>
          <w:marBottom w:val="0"/>
          <w:divBdr>
            <w:top w:val="none" w:sz="0" w:space="0" w:color="auto"/>
            <w:left w:val="none" w:sz="0" w:space="0" w:color="auto"/>
            <w:bottom w:val="none" w:sz="0" w:space="0" w:color="auto"/>
            <w:right w:val="none" w:sz="0" w:space="0" w:color="auto"/>
          </w:divBdr>
        </w:div>
      </w:divsChild>
    </w:div>
    <w:div w:id="1317416259">
      <w:bodyDiv w:val="1"/>
      <w:marLeft w:val="0"/>
      <w:marRight w:val="0"/>
      <w:marTop w:val="0"/>
      <w:marBottom w:val="0"/>
      <w:divBdr>
        <w:top w:val="none" w:sz="0" w:space="0" w:color="auto"/>
        <w:left w:val="none" w:sz="0" w:space="0" w:color="auto"/>
        <w:bottom w:val="none" w:sz="0" w:space="0" w:color="auto"/>
        <w:right w:val="none" w:sz="0" w:space="0" w:color="auto"/>
      </w:divBdr>
    </w:div>
    <w:div w:id="1501507989">
      <w:bodyDiv w:val="1"/>
      <w:marLeft w:val="0"/>
      <w:marRight w:val="0"/>
      <w:marTop w:val="0"/>
      <w:marBottom w:val="0"/>
      <w:divBdr>
        <w:top w:val="none" w:sz="0" w:space="0" w:color="auto"/>
        <w:left w:val="none" w:sz="0" w:space="0" w:color="auto"/>
        <w:bottom w:val="none" w:sz="0" w:space="0" w:color="auto"/>
        <w:right w:val="none" w:sz="0" w:space="0" w:color="auto"/>
      </w:divBdr>
      <w:divsChild>
        <w:div w:id="1035959234">
          <w:marLeft w:val="0"/>
          <w:marRight w:val="0"/>
          <w:marTop w:val="480"/>
          <w:marBottom w:val="240"/>
          <w:divBdr>
            <w:top w:val="none" w:sz="0" w:space="0" w:color="auto"/>
            <w:left w:val="none" w:sz="0" w:space="0" w:color="auto"/>
            <w:bottom w:val="none" w:sz="0" w:space="0" w:color="auto"/>
            <w:right w:val="none" w:sz="0" w:space="0" w:color="auto"/>
          </w:divBdr>
        </w:div>
        <w:div w:id="2098012435">
          <w:marLeft w:val="0"/>
          <w:marRight w:val="0"/>
          <w:marTop w:val="0"/>
          <w:marBottom w:val="567"/>
          <w:divBdr>
            <w:top w:val="none" w:sz="0" w:space="0" w:color="auto"/>
            <w:left w:val="none" w:sz="0" w:space="0" w:color="auto"/>
            <w:bottom w:val="none" w:sz="0" w:space="0" w:color="auto"/>
            <w:right w:val="none" w:sz="0" w:space="0" w:color="auto"/>
          </w:divBdr>
        </w:div>
        <w:div w:id="1700885798">
          <w:marLeft w:val="0"/>
          <w:marRight w:val="0"/>
          <w:marTop w:val="0"/>
          <w:marBottom w:val="567"/>
          <w:divBdr>
            <w:top w:val="none" w:sz="0" w:space="0" w:color="auto"/>
            <w:left w:val="none" w:sz="0" w:space="0" w:color="auto"/>
            <w:bottom w:val="none" w:sz="0" w:space="0" w:color="auto"/>
            <w:right w:val="none" w:sz="0" w:space="0" w:color="auto"/>
          </w:divBdr>
        </w:div>
      </w:divsChild>
    </w:div>
    <w:div w:id="1612929767">
      <w:bodyDiv w:val="1"/>
      <w:marLeft w:val="0"/>
      <w:marRight w:val="0"/>
      <w:marTop w:val="0"/>
      <w:marBottom w:val="0"/>
      <w:divBdr>
        <w:top w:val="none" w:sz="0" w:space="0" w:color="auto"/>
        <w:left w:val="none" w:sz="0" w:space="0" w:color="auto"/>
        <w:bottom w:val="none" w:sz="0" w:space="0" w:color="auto"/>
        <w:right w:val="none" w:sz="0" w:space="0" w:color="auto"/>
      </w:divBdr>
    </w:div>
    <w:div w:id="1635451793">
      <w:bodyDiv w:val="1"/>
      <w:marLeft w:val="0"/>
      <w:marRight w:val="0"/>
      <w:marTop w:val="0"/>
      <w:marBottom w:val="0"/>
      <w:divBdr>
        <w:top w:val="none" w:sz="0" w:space="0" w:color="auto"/>
        <w:left w:val="none" w:sz="0" w:space="0" w:color="auto"/>
        <w:bottom w:val="none" w:sz="0" w:space="0" w:color="auto"/>
        <w:right w:val="none" w:sz="0" w:space="0" w:color="auto"/>
      </w:divBdr>
    </w:div>
    <w:div w:id="1796678379">
      <w:bodyDiv w:val="1"/>
      <w:marLeft w:val="0"/>
      <w:marRight w:val="0"/>
      <w:marTop w:val="0"/>
      <w:marBottom w:val="0"/>
      <w:divBdr>
        <w:top w:val="none" w:sz="0" w:space="0" w:color="auto"/>
        <w:left w:val="none" w:sz="0" w:space="0" w:color="auto"/>
        <w:bottom w:val="none" w:sz="0" w:space="0" w:color="auto"/>
        <w:right w:val="none" w:sz="0" w:space="0" w:color="auto"/>
      </w:divBdr>
    </w:div>
    <w:div w:id="1844515463">
      <w:bodyDiv w:val="1"/>
      <w:marLeft w:val="0"/>
      <w:marRight w:val="0"/>
      <w:marTop w:val="0"/>
      <w:marBottom w:val="0"/>
      <w:divBdr>
        <w:top w:val="none" w:sz="0" w:space="0" w:color="auto"/>
        <w:left w:val="none" w:sz="0" w:space="0" w:color="auto"/>
        <w:bottom w:val="none" w:sz="0" w:space="0" w:color="auto"/>
        <w:right w:val="none" w:sz="0" w:space="0" w:color="auto"/>
      </w:divBdr>
    </w:div>
    <w:div w:id="2063088910">
      <w:bodyDiv w:val="1"/>
      <w:marLeft w:val="0"/>
      <w:marRight w:val="0"/>
      <w:marTop w:val="0"/>
      <w:marBottom w:val="0"/>
      <w:divBdr>
        <w:top w:val="none" w:sz="0" w:space="0" w:color="auto"/>
        <w:left w:val="none" w:sz="0" w:space="0" w:color="auto"/>
        <w:bottom w:val="none" w:sz="0" w:space="0" w:color="auto"/>
        <w:right w:val="none" w:sz="0" w:space="0" w:color="auto"/>
      </w:divBdr>
    </w:div>
    <w:div w:id="21303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13.nsf/webAll?SearchView&amp;Query=(%5bNumberTxt%5d=342/Lp13)&amp;SearchMax=0&amp;SearchOrder=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itania.saeima.lv/LIVS13/saeimalivs13.nsf/webAll?SearchView&amp;Query=(%5bNumberTxt%5d=342/Lp13)&amp;SearchMax=0&amp;SearchOrder=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550A-D13C-44AA-BAC0-2BAA8DEA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31</Pages>
  <Words>31084</Words>
  <Characters>17718</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Likumprojekts "Grozījumi Ķīmisko vielu likumā"</vt:lpstr>
    </vt:vector>
  </TitlesOfParts>
  <Company>VARAM</Company>
  <LinksUpToDate>false</LinksUpToDate>
  <CharactersWithSpaces>48705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Ķīmisko vielu likumā"</dc:title>
  <dc:subject>Izziņa</dc:subject>
  <dc:creator>Kristīne Kazerovska</dc:creator>
  <dc:description>Kristīne Kazerovska 67026516
Vides aizsardzības un reģionālās attīstības ministrijas
Vides aizsardzības departamenta
Piesārņojuma novēršanas nodaļas vecākā eksperte
Kristine.Kazerovska@varam.gov.lv</dc:description>
  <cp:lastModifiedBy>Madara Gaile</cp:lastModifiedBy>
  <cp:revision>12</cp:revision>
  <cp:lastPrinted>2020-01-22T09:40:00Z</cp:lastPrinted>
  <dcterms:created xsi:type="dcterms:W3CDTF">2020-01-21T09:43:00Z</dcterms:created>
  <dcterms:modified xsi:type="dcterms:W3CDTF">2020-01-24T07:37:00Z</dcterms:modified>
  <cp:category>Vides politika</cp:category>
</cp:coreProperties>
</file>